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24B69" w14:textId="55A9DD4F" w:rsidR="009F0C5D" w:rsidRPr="00CF5CFA" w:rsidRDefault="009F0C5D" w:rsidP="00252A58">
      <w:pPr>
        <w:pStyle w:val="En-ttedetabledesmatires"/>
        <w:rPr>
          <w:color w:val="FF0000"/>
        </w:rPr>
      </w:pPr>
      <w:r w:rsidRPr="00CF5CFA">
        <w:rPr>
          <w:rFonts w:eastAsia="Cambria"/>
          <w:noProof/>
        </w:rPr>
        <w:drawing>
          <wp:anchor distT="0" distB="0" distL="114300" distR="114300" simplePos="0" relativeHeight="251659264" behindDoc="1" locked="0" layoutInCell="1" allowOverlap="1" wp14:anchorId="7F18BD5C" wp14:editId="73257505">
            <wp:simplePos x="0" y="0"/>
            <wp:positionH relativeFrom="column">
              <wp:posOffset>-142240</wp:posOffset>
            </wp:positionH>
            <wp:positionV relativeFrom="paragraph">
              <wp:posOffset>0</wp:posOffset>
            </wp:positionV>
            <wp:extent cx="1044000" cy="849600"/>
            <wp:effectExtent l="0" t="0" r="3810" b="8255"/>
            <wp:wrapTight wrapText="bothSides">
              <wp:wrapPolygon edited="0">
                <wp:start x="0" y="0"/>
                <wp:lineTo x="0" y="21325"/>
                <wp:lineTo x="21285" y="21325"/>
                <wp:lineTo x="2128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4000" cy="849600"/>
                    </a:xfrm>
                    <a:prstGeom prst="rect">
                      <a:avLst/>
                    </a:prstGeom>
                    <a:noFill/>
                  </pic:spPr>
                </pic:pic>
              </a:graphicData>
            </a:graphic>
            <wp14:sizeRelH relativeFrom="margin">
              <wp14:pctWidth>0</wp14:pctWidth>
            </wp14:sizeRelH>
            <wp14:sizeRelV relativeFrom="margin">
              <wp14:pctHeight>0</wp14:pctHeight>
            </wp14:sizeRelV>
          </wp:anchor>
        </w:drawing>
      </w:r>
    </w:p>
    <w:p w14:paraId="4963D61B" w14:textId="77777777" w:rsidR="009F0C5D" w:rsidRPr="00CF5CFA" w:rsidRDefault="009F0C5D" w:rsidP="009F0C5D">
      <w:pPr>
        <w:rPr>
          <w:rFonts w:ascii="Arial" w:hAnsi="Arial" w:cs="Arial"/>
          <w:sz w:val="20"/>
          <w:szCs w:val="20"/>
          <w:lang w:eastAsia="fr-FR"/>
        </w:rPr>
      </w:pPr>
    </w:p>
    <w:p w14:paraId="1619B748" w14:textId="77777777" w:rsidR="009F0C5D" w:rsidRPr="00CF5CFA" w:rsidRDefault="009F0C5D" w:rsidP="009F0C5D">
      <w:pPr>
        <w:rPr>
          <w:rFonts w:ascii="Arial" w:hAnsi="Arial" w:cs="Arial"/>
          <w:sz w:val="20"/>
          <w:szCs w:val="20"/>
          <w:lang w:eastAsia="fr-FR"/>
        </w:rPr>
      </w:pPr>
    </w:p>
    <w:p w14:paraId="73990717" w14:textId="77777777" w:rsidR="009F0C5D" w:rsidRPr="00CF5CFA" w:rsidRDefault="009F0C5D" w:rsidP="009F0C5D">
      <w:pPr>
        <w:rPr>
          <w:rFonts w:ascii="Arial" w:hAnsi="Arial" w:cs="Arial"/>
          <w:sz w:val="20"/>
          <w:szCs w:val="20"/>
          <w:lang w:eastAsia="fr-FR"/>
        </w:rPr>
      </w:pPr>
    </w:p>
    <w:p w14:paraId="50B1F790" w14:textId="77777777" w:rsidR="009F0C5D" w:rsidRPr="00896C1B" w:rsidRDefault="009F0C5D" w:rsidP="00252A58">
      <w:pPr>
        <w:pStyle w:val="En-ttedetabledesmatires"/>
      </w:pPr>
    </w:p>
    <w:p w14:paraId="5673330A" w14:textId="77777777" w:rsidR="009F0C5D" w:rsidRPr="00896C1B" w:rsidRDefault="009F0C5D" w:rsidP="00252A58">
      <w:pPr>
        <w:pStyle w:val="En-ttedetabledesmatires"/>
      </w:pPr>
    </w:p>
    <w:p w14:paraId="1C79FDC5" w14:textId="77777777" w:rsidR="009F0C5D" w:rsidRPr="00896C1B" w:rsidRDefault="009F0C5D" w:rsidP="009F0C5D">
      <w:pPr>
        <w:rPr>
          <w:rFonts w:ascii="Arial" w:hAnsi="Arial" w:cs="Arial"/>
          <w:b/>
          <w:sz w:val="20"/>
          <w:szCs w:val="20"/>
          <w:lang w:eastAsia="fr-FR"/>
        </w:rPr>
      </w:pPr>
    </w:p>
    <w:p w14:paraId="0F094111" w14:textId="77777777" w:rsidR="009F0C5D" w:rsidRPr="00896C1B" w:rsidRDefault="009F0C5D" w:rsidP="009F0C5D">
      <w:pPr>
        <w:rPr>
          <w:rFonts w:ascii="Arial" w:hAnsi="Arial" w:cs="Arial"/>
          <w:b/>
          <w:sz w:val="20"/>
          <w:szCs w:val="20"/>
          <w:lang w:eastAsia="fr-FR"/>
        </w:rPr>
      </w:pPr>
    </w:p>
    <w:p w14:paraId="7111DC20" w14:textId="77777777" w:rsidR="009F0C5D" w:rsidRPr="00896C1B" w:rsidRDefault="009F0C5D" w:rsidP="009F0C5D">
      <w:pPr>
        <w:rPr>
          <w:rFonts w:ascii="Arial" w:hAnsi="Arial" w:cs="Arial"/>
          <w:b/>
          <w:sz w:val="20"/>
          <w:szCs w:val="20"/>
          <w:lang w:eastAsia="fr-FR"/>
        </w:rPr>
      </w:pPr>
    </w:p>
    <w:p w14:paraId="5536A53E" w14:textId="77777777" w:rsidR="009F0C5D" w:rsidRPr="00896C1B" w:rsidRDefault="009F0C5D" w:rsidP="00252A58">
      <w:pPr>
        <w:pStyle w:val="En-ttedetabledesmatires"/>
      </w:pPr>
    </w:p>
    <w:p w14:paraId="31B0F790" w14:textId="77777777" w:rsidR="00896C1B" w:rsidRDefault="00896C1B" w:rsidP="00252A58">
      <w:pPr>
        <w:pStyle w:val="En-ttedetabledesmatires"/>
      </w:pPr>
    </w:p>
    <w:p w14:paraId="7EC239F2" w14:textId="77777777" w:rsidR="001530F1" w:rsidRDefault="001530F1" w:rsidP="00252A58">
      <w:pPr>
        <w:pStyle w:val="En-ttedetabledesmatires"/>
      </w:pPr>
    </w:p>
    <w:p w14:paraId="7F09D4E3" w14:textId="77777777" w:rsidR="0094565C" w:rsidRDefault="0094565C" w:rsidP="00252A58">
      <w:pPr>
        <w:pStyle w:val="En-ttedetabledesmatires"/>
      </w:pPr>
    </w:p>
    <w:p w14:paraId="5C44FB2B" w14:textId="77777777" w:rsidR="00BD76E6" w:rsidRDefault="00BD76E6" w:rsidP="00252A58">
      <w:pPr>
        <w:pStyle w:val="En-ttedetabledesmatires"/>
      </w:pPr>
    </w:p>
    <w:p w14:paraId="2F6D1E58" w14:textId="2B043A80" w:rsidR="001530F1" w:rsidRPr="00636A56" w:rsidRDefault="00896C1B" w:rsidP="00636A56">
      <w:pPr>
        <w:pStyle w:val="En-ttedetabledesmatires"/>
        <w:jc w:val="center"/>
        <w:rPr>
          <w:color w:val="000000" w:themeColor="text1"/>
        </w:rPr>
      </w:pPr>
      <w:r w:rsidRPr="00636A56">
        <w:rPr>
          <w:color w:val="000000" w:themeColor="text1"/>
        </w:rPr>
        <w:t>A</w:t>
      </w:r>
      <w:r w:rsidR="009F0C5D" w:rsidRPr="00636A56">
        <w:rPr>
          <w:color w:val="000000" w:themeColor="text1"/>
        </w:rPr>
        <w:t xml:space="preserve">CCORD RELATIF </w:t>
      </w:r>
      <w:r w:rsidR="00150D42" w:rsidRPr="00636A56">
        <w:rPr>
          <w:color w:val="000000" w:themeColor="text1"/>
        </w:rPr>
        <w:t xml:space="preserve">AUX MESURES </w:t>
      </w:r>
      <w:r w:rsidR="005A339D" w:rsidRPr="00636A56">
        <w:rPr>
          <w:color w:val="000000" w:themeColor="text1"/>
        </w:rPr>
        <w:t>SALARIALES</w:t>
      </w:r>
    </w:p>
    <w:p w14:paraId="163E4D34" w14:textId="52788EF2" w:rsidR="0094565C" w:rsidRPr="00636A56" w:rsidRDefault="0094565C" w:rsidP="00636A56">
      <w:pPr>
        <w:pStyle w:val="En-ttedetabledesmatires"/>
        <w:jc w:val="center"/>
        <w:rPr>
          <w:color w:val="000000" w:themeColor="text1"/>
        </w:rPr>
      </w:pPr>
      <w:r w:rsidRPr="00636A56">
        <w:rPr>
          <w:color w:val="000000" w:themeColor="text1"/>
        </w:rPr>
        <w:t>DEPLOYEES AU CEA</w:t>
      </w:r>
    </w:p>
    <w:p w14:paraId="1D89C25B" w14:textId="77777777" w:rsidR="0094565C" w:rsidRPr="00636A56" w:rsidRDefault="0094565C" w:rsidP="00636A56">
      <w:pPr>
        <w:pStyle w:val="En-ttedetabledesmatires"/>
        <w:jc w:val="center"/>
        <w:rPr>
          <w:color w:val="000000" w:themeColor="text1"/>
        </w:rPr>
      </w:pPr>
    </w:p>
    <w:p w14:paraId="3040FA9F" w14:textId="078AD34A" w:rsidR="0094565C" w:rsidRDefault="0094565C" w:rsidP="0094565C">
      <w:pPr>
        <w:rPr>
          <w:lang w:eastAsia="fr-FR"/>
        </w:rPr>
      </w:pPr>
    </w:p>
    <w:p w14:paraId="73D863A5" w14:textId="4AA65222" w:rsidR="0094565C" w:rsidRDefault="0094565C" w:rsidP="0094565C">
      <w:pPr>
        <w:rPr>
          <w:lang w:eastAsia="fr-FR"/>
        </w:rPr>
      </w:pPr>
    </w:p>
    <w:p w14:paraId="69A9CCBF" w14:textId="77777777" w:rsidR="0094565C" w:rsidRPr="0094565C" w:rsidRDefault="0094565C" w:rsidP="0094565C">
      <w:pPr>
        <w:rPr>
          <w:lang w:eastAsia="fr-FR"/>
        </w:rPr>
      </w:pPr>
    </w:p>
    <w:p w14:paraId="4DA2298C" w14:textId="77777777" w:rsidR="0094565C" w:rsidRPr="0094565C" w:rsidRDefault="0094565C" w:rsidP="0094565C">
      <w:pPr>
        <w:rPr>
          <w:lang w:eastAsia="fr-FR"/>
        </w:rPr>
      </w:pPr>
    </w:p>
    <w:p w14:paraId="52A8642B" w14:textId="77777777" w:rsidR="001530F1" w:rsidRDefault="001530F1" w:rsidP="00252A58">
      <w:pPr>
        <w:pStyle w:val="En-ttedetabledesmatires"/>
      </w:pPr>
    </w:p>
    <w:p w14:paraId="6F6FF836" w14:textId="705BC5AE" w:rsidR="001530F1" w:rsidRDefault="001530F1" w:rsidP="001530F1">
      <w:pPr>
        <w:rPr>
          <w:lang w:eastAsia="fr-FR"/>
        </w:rPr>
      </w:pPr>
    </w:p>
    <w:p w14:paraId="0BBB9AE7" w14:textId="77777777" w:rsidR="001530F1" w:rsidRPr="001530F1" w:rsidRDefault="001530F1" w:rsidP="001530F1">
      <w:pPr>
        <w:rPr>
          <w:lang w:eastAsia="fr-FR"/>
        </w:rPr>
      </w:pPr>
    </w:p>
    <w:p w14:paraId="48C4CDEB" w14:textId="411C8869" w:rsidR="001530F1" w:rsidRDefault="001530F1" w:rsidP="001530F1">
      <w:pPr>
        <w:rPr>
          <w:lang w:eastAsia="fr-FR"/>
        </w:rPr>
      </w:pPr>
    </w:p>
    <w:p w14:paraId="7EAA0E64" w14:textId="77777777" w:rsidR="001530F1" w:rsidRPr="001530F1" w:rsidRDefault="001530F1" w:rsidP="001530F1">
      <w:pPr>
        <w:rPr>
          <w:lang w:eastAsia="fr-FR"/>
        </w:rPr>
      </w:pPr>
    </w:p>
    <w:p w14:paraId="09600A11" w14:textId="77777777" w:rsidR="001530F1" w:rsidRPr="001530F1" w:rsidRDefault="001530F1" w:rsidP="001530F1">
      <w:pPr>
        <w:rPr>
          <w:lang w:eastAsia="fr-FR"/>
        </w:rPr>
      </w:pPr>
    </w:p>
    <w:p w14:paraId="10E5CD27" w14:textId="77777777" w:rsidR="001530F1" w:rsidRPr="001530F1" w:rsidRDefault="001530F1" w:rsidP="001530F1">
      <w:pPr>
        <w:rPr>
          <w:lang w:eastAsia="fr-FR"/>
        </w:rPr>
      </w:pPr>
    </w:p>
    <w:p w14:paraId="62BF69F6" w14:textId="14531FBF" w:rsidR="003201EE" w:rsidRPr="00BD76E6" w:rsidRDefault="00B024DF" w:rsidP="00252A58">
      <w:pPr>
        <w:pStyle w:val="Titre1"/>
      </w:pPr>
      <w:r w:rsidRPr="00BD76E6">
        <w:lastRenderedPageBreak/>
        <w:t>P</w:t>
      </w:r>
      <w:r w:rsidR="000925B8" w:rsidRPr="00BD76E6">
        <w:t>réambule</w:t>
      </w:r>
    </w:p>
    <w:p w14:paraId="61212B71" w14:textId="2E703A0E" w:rsidR="00BD76E6" w:rsidRPr="00BD76E6" w:rsidRDefault="00BD76E6" w:rsidP="00252A58">
      <w:pPr>
        <w:spacing w:line="240" w:lineRule="auto"/>
        <w:jc w:val="both"/>
        <w:rPr>
          <w:rFonts w:ascii="Arial" w:hAnsi="Arial" w:cs="Arial"/>
          <w:sz w:val="20"/>
          <w:szCs w:val="20"/>
        </w:rPr>
      </w:pPr>
      <w:bookmarkStart w:id="0" w:name="_Toc528227771"/>
      <w:bookmarkStart w:id="1" w:name="_Toc5964429"/>
      <w:r w:rsidRPr="00BD76E6">
        <w:rPr>
          <w:rFonts w:ascii="Arial" w:hAnsi="Arial" w:cs="Arial"/>
          <w:sz w:val="20"/>
          <w:szCs w:val="20"/>
        </w:rPr>
        <w:t xml:space="preserve">Conformément aux dispositions de l’article L. 2241-8 du Code du travail, la Direction et les </w:t>
      </w:r>
      <w:r w:rsidR="009856C0">
        <w:rPr>
          <w:rFonts w:ascii="Arial" w:hAnsi="Arial" w:cs="Arial"/>
          <w:sz w:val="20"/>
          <w:szCs w:val="20"/>
        </w:rPr>
        <w:t>o</w:t>
      </w:r>
      <w:r w:rsidRPr="00BD76E6">
        <w:rPr>
          <w:rFonts w:ascii="Arial" w:hAnsi="Arial" w:cs="Arial"/>
          <w:sz w:val="20"/>
          <w:szCs w:val="20"/>
        </w:rPr>
        <w:t xml:space="preserve">rganisations </w:t>
      </w:r>
      <w:r w:rsidR="009856C0">
        <w:rPr>
          <w:rFonts w:ascii="Arial" w:hAnsi="Arial" w:cs="Arial"/>
          <w:sz w:val="20"/>
          <w:szCs w:val="20"/>
        </w:rPr>
        <w:t>s</w:t>
      </w:r>
      <w:r w:rsidRPr="00BD76E6">
        <w:rPr>
          <w:rFonts w:ascii="Arial" w:hAnsi="Arial" w:cs="Arial"/>
          <w:sz w:val="20"/>
          <w:szCs w:val="20"/>
        </w:rPr>
        <w:t xml:space="preserve">yndicales </w:t>
      </w:r>
      <w:r w:rsidR="009856C0">
        <w:rPr>
          <w:rFonts w:ascii="Arial" w:hAnsi="Arial" w:cs="Arial"/>
          <w:sz w:val="20"/>
          <w:szCs w:val="20"/>
        </w:rPr>
        <w:t>r</w:t>
      </w:r>
      <w:r w:rsidRPr="00BD76E6">
        <w:rPr>
          <w:rFonts w:ascii="Arial" w:hAnsi="Arial" w:cs="Arial"/>
          <w:sz w:val="20"/>
          <w:szCs w:val="20"/>
        </w:rPr>
        <w:t>eprésentatives ont engagé une négociation sur les salaires au titre de l’année 2021</w:t>
      </w:r>
      <w:r w:rsidR="003374EB">
        <w:rPr>
          <w:rFonts w:ascii="Arial" w:hAnsi="Arial" w:cs="Arial"/>
          <w:sz w:val="20"/>
          <w:szCs w:val="20"/>
        </w:rPr>
        <w:t xml:space="preserve"> et se sont rencontrés lors de</w:t>
      </w:r>
      <w:r w:rsidRPr="00BD76E6">
        <w:rPr>
          <w:rFonts w:ascii="Arial" w:hAnsi="Arial" w:cs="Arial"/>
          <w:sz w:val="20"/>
          <w:szCs w:val="20"/>
        </w:rPr>
        <w:t xml:space="preserve"> </w:t>
      </w:r>
      <w:r w:rsidR="003374EB" w:rsidRPr="00BD76E6">
        <w:rPr>
          <w:rFonts w:ascii="Arial" w:hAnsi="Arial" w:cs="Arial"/>
          <w:sz w:val="20"/>
          <w:szCs w:val="20"/>
        </w:rPr>
        <w:t>quatre</w:t>
      </w:r>
      <w:r w:rsidRPr="00BD76E6">
        <w:rPr>
          <w:rFonts w:ascii="Arial" w:hAnsi="Arial" w:cs="Arial"/>
          <w:sz w:val="20"/>
          <w:szCs w:val="20"/>
        </w:rPr>
        <w:t xml:space="preserve"> réunions </w:t>
      </w:r>
      <w:r w:rsidR="00E377D0">
        <w:rPr>
          <w:rFonts w:ascii="Arial" w:hAnsi="Arial" w:cs="Arial"/>
          <w:sz w:val="20"/>
          <w:szCs w:val="20"/>
        </w:rPr>
        <w:t>qui se sont tenues les</w:t>
      </w:r>
      <w:r w:rsidRPr="00BD76E6">
        <w:rPr>
          <w:rFonts w:ascii="Arial" w:hAnsi="Arial" w:cs="Arial"/>
          <w:sz w:val="20"/>
          <w:szCs w:val="20"/>
        </w:rPr>
        <w:t xml:space="preserve"> 2</w:t>
      </w:r>
      <w:r w:rsidR="003374EB">
        <w:rPr>
          <w:rFonts w:ascii="Arial" w:hAnsi="Arial" w:cs="Arial"/>
          <w:sz w:val="20"/>
          <w:szCs w:val="20"/>
        </w:rPr>
        <w:t xml:space="preserve">7 avril, 26 mai, 23 juin et du </w:t>
      </w:r>
      <w:r w:rsidRPr="00BD76E6">
        <w:rPr>
          <w:rFonts w:ascii="Arial" w:hAnsi="Arial" w:cs="Arial"/>
          <w:sz w:val="20"/>
          <w:szCs w:val="20"/>
        </w:rPr>
        <w:t>9 septembre 2021.</w:t>
      </w:r>
    </w:p>
    <w:p w14:paraId="62A7A451" w14:textId="63C4D5FF" w:rsidR="00EC1502" w:rsidRPr="00BD76E6" w:rsidRDefault="00DB1ED4" w:rsidP="00252A58">
      <w:pPr>
        <w:spacing w:line="240" w:lineRule="auto"/>
        <w:jc w:val="both"/>
        <w:rPr>
          <w:rFonts w:ascii="Arial" w:hAnsi="Arial" w:cs="Arial"/>
          <w:sz w:val="20"/>
          <w:szCs w:val="20"/>
        </w:rPr>
      </w:pPr>
      <w:r w:rsidRPr="00BD76E6">
        <w:rPr>
          <w:rFonts w:ascii="Arial" w:hAnsi="Arial" w:cs="Arial"/>
          <w:sz w:val="20"/>
          <w:szCs w:val="20"/>
        </w:rPr>
        <w:t>L</w:t>
      </w:r>
      <w:r w:rsidR="00596446" w:rsidRPr="00BD76E6">
        <w:rPr>
          <w:rFonts w:ascii="Arial" w:hAnsi="Arial" w:cs="Arial"/>
          <w:sz w:val="20"/>
          <w:szCs w:val="20"/>
        </w:rPr>
        <w:t xml:space="preserve">ors de la réunion du </w:t>
      </w:r>
      <w:r w:rsidR="00DA7654" w:rsidRPr="00BD76E6">
        <w:rPr>
          <w:rFonts w:ascii="Arial" w:hAnsi="Arial" w:cs="Arial"/>
          <w:sz w:val="20"/>
          <w:szCs w:val="20"/>
        </w:rPr>
        <w:t>23 juin 2021</w:t>
      </w:r>
      <w:r w:rsidRPr="00BD76E6">
        <w:rPr>
          <w:rFonts w:ascii="Arial" w:hAnsi="Arial" w:cs="Arial"/>
          <w:sz w:val="20"/>
          <w:szCs w:val="20"/>
        </w:rPr>
        <w:t xml:space="preserve"> relative à la négociation annuelle obligatoire sur les salaires</w:t>
      </w:r>
      <w:r w:rsidR="009856C0">
        <w:rPr>
          <w:rFonts w:ascii="Arial" w:hAnsi="Arial" w:cs="Arial"/>
          <w:sz w:val="20"/>
          <w:szCs w:val="20"/>
        </w:rPr>
        <w:t>, la d</w:t>
      </w:r>
      <w:r w:rsidR="00596446" w:rsidRPr="00BD76E6">
        <w:rPr>
          <w:rFonts w:ascii="Arial" w:hAnsi="Arial" w:cs="Arial"/>
          <w:sz w:val="20"/>
          <w:szCs w:val="20"/>
        </w:rPr>
        <w:t xml:space="preserve">irection </w:t>
      </w:r>
      <w:r w:rsidR="002066B9">
        <w:rPr>
          <w:rFonts w:ascii="Arial" w:hAnsi="Arial" w:cs="Arial"/>
          <w:sz w:val="20"/>
          <w:szCs w:val="20"/>
        </w:rPr>
        <w:t>a informé</w:t>
      </w:r>
      <w:r w:rsidR="00BD76E6" w:rsidRPr="00BD76E6">
        <w:rPr>
          <w:rFonts w:ascii="Arial" w:hAnsi="Arial" w:cs="Arial"/>
          <w:sz w:val="20"/>
          <w:szCs w:val="20"/>
        </w:rPr>
        <w:t xml:space="preserve"> </w:t>
      </w:r>
      <w:r w:rsidR="00596446" w:rsidRPr="00BD76E6">
        <w:rPr>
          <w:rFonts w:ascii="Arial" w:hAnsi="Arial" w:cs="Arial"/>
          <w:sz w:val="20"/>
          <w:szCs w:val="20"/>
        </w:rPr>
        <w:t xml:space="preserve">les </w:t>
      </w:r>
      <w:r w:rsidRPr="00BD76E6">
        <w:rPr>
          <w:rFonts w:ascii="Arial" w:hAnsi="Arial" w:cs="Arial"/>
          <w:sz w:val="20"/>
          <w:szCs w:val="20"/>
        </w:rPr>
        <w:t>o</w:t>
      </w:r>
      <w:r w:rsidR="00596446" w:rsidRPr="00BD76E6">
        <w:rPr>
          <w:rFonts w:ascii="Arial" w:hAnsi="Arial" w:cs="Arial"/>
          <w:sz w:val="20"/>
          <w:szCs w:val="20"/>
        </w:rPr>
        <w:t xml:space="preserve">rganisations </w:t>
      </w:r>
      <w:r w:rsidRPr="00BD76E6">
        <w:rPr>
          <w:rFonts w:ascii="Arial" w:hAnsi="Arial" w:cs="Arial"/>
          <w:sz w:val="20"/>
          <w:szCs w:val="20"/>
        </w:rPr>
        <w:t>s</w:t>
      </w:r>
      <w:r w:rsidR="00596446" w:rsidRPr="00BD76E6">
        <w:rPr>
          <w:rFonts w:ascii="Arial" w:hAnsi="Arial" w:cs="Arial"/>
          <w:sz w:val="20"/>
          <w:szCs w:val="20"/>
        </w:rPr>
        <w:t xml:space="preserve">yndicales </w:t>
      </w:r>
      <w:r w:rsidRPr="00BD76E6">
        <w:rPr>
          <w:rFonts w:ascii="Arial" w:hAnsi="Arial" w:cs="Arial"/>
          <w:sz w:val="20"/>
          <w:szCs w:val="20"/>
        </w:rPr>
        <w:t>r</w:t>
      </w:r>
      <w:r w:rsidR="00596446" w:rsidRPr="00BD76E6">
        <w:rPr>
          <w:rFonts w:ascii="Arial" w:hAnsi="Arial" w:cs="Arial"/>
          <w:sz w:val="20"/>
          <w:szCs w:val="20"/>
        </w:rPr>
        <w:t xml:space="preserve">eprésentatives </w:t>
      </w:r>
      <w:r w:rsidRPr="00BD76E6">
        <w:rPr>
          <w:rFonts w:ascii="Arial" w:hAnsi="Arial" w:cs="Arial"/>
          <w:sz w:val="20"/>
          <w:szCs w:val="20"/>
        </w:rPr>
        <w:t xml:space="preserve">de la notification du cadrage de la Rémunération Moyenne des Personnels en Place (RMPP) </w:t>
      </w:r>
      <w:r w:rsidR="00596446" w:rsidRPr="00BD76E6">
        <w:rPr>
          <w:rFonts w:ascii="Arial" w:hAnsi="Arial" w:cs="Arial"/>
          <w:sz w:val="20"/>
          <w:szCs w:val="20"/>
        </w:rPr>
        <w:t xml:space="preserve">par les tutelles. </w:t>
      </w:r>
    </w:p>
    <w:p w14:paraId="2DA96EAC" w14:textId="4EACD4E7" w:rsidR="001C5AEA" w:rsidRPr="00BD76E6" w:rsidRDefault="00596446" w:rsidP="00252A58">
      <w:pPr>
        <w:spacing w:line="240" w:lineRule="auto"/>
        <w:jc w:val="both"/>
        <w:rPr>
          <w:rFonts w:ascii="Arial" w:hAnsi="Arial" w:cs="Arial"/>
          <w:sz w:val="20"/>
          <w:szCs w:val="20"/>
        </w:rPr>
      </w:pPr>
      <w:r w:rsidRPr="00BD76E6">
        <w:rPr>
          <w:rFonts w:ascii="Arial" w:hAnsi="Arial" w:cs="Arial"/>
          <w:sz w:val="20"/>
          <w:szCs w:val="20"/>
        </w:rPr>
        <w:t xml:space="preserve">Pour l’année 2021, ce dernier est de 1.92% + 0.08% au titre </w:t>
      </w:r>
      <w:r w:rsidR="001D1277" w:rsidRPr="00BD76E6">
        <w:rPr>
          <w:rFonts w:ascii="Arial" w:hAnsi="Arial" w:cs="Arial"/>
          <w:sz w:val="20"/>
          <w:szCs w:val="20"/>
        </w:rPr>
        <w:t>des objectifs poursuivis par la L</w:t>
      </w:r>
      <w:r w:rsidR="001C5AEA" w:rsidRPr="00BD76E6">
        <w:rPr>
          <w:rFonts w:ascii="Arial" w:hAnsi="Arial" w:cs="Arial"/>
          <w:sz w:val="20"/>
          <w:szCs w:val="20"/>
        </w:rPr>
        <w:t xml:space="preserve">oi de </w:t>
      </w:r>
      <w:r w:rsidR="001D1277" w:rsidRPr="00BD76E6">
        <w:rPr>
          <w:rFonts w:ascii="Arial" w:hAnsi="Arial" w:cs="Arial"/>
          <w:sz w:val="20"/>
          <w:szCs w:val="20"/>
        </w:rPr>
        <w:t>P</w:t>
      </w:r>
      <w:r w:rsidR="001C5AEA" w:rsidRPr="00BD76E6">
        <w:rPr>
          <w:rFonts w:ascii="Arial" w:hAnsi="Arial" w:cs="Arial"/>
          <w:sz w:val="20"/>
          <w:szCs w:val="20"/>
        </w:rPr>
        <w:t xml:space="preserve">rogrammation de la </w:t>
      </w:r>
      <w:r w:rsidR="001D1277" w:rsidRPr="00BD76E6">
        <w:rPr>
          <w:rFonts w:ascii="Arial" w:hAnsi="Arial" w:cs="Arial"/>
          <w:sz w:val="20"/>
          <w:szCs w:val="20"/>
        </w:rPr>
        <w:t>R</w:t>
      </w:r>
      <w:r w:rsidR="001C5AEA" w:rsidRPr="00BD76E6">
        <w:rPr>
          <w:rFonts w:ascii="Arial" w:hAnsi="Arial" w:cs="Arial"/>
          <w:sz w:val="20"/>
          <w:szCs w:val="20"/>
        </w:rPr>
        <w:t>echerche</w:t>
      </w:r>
      <w:r w:rsidR="006D1BCC" w:rsidRPr="00BD76E6">
        <w:rPr>
          <w:rFonts w:ascii="Arial" w:hAnsi="Arial" w:cs="Arial"/>
          <w:sz w:val="20"/>
          <w:szCs w:val="20"/>
        </w:rPr>
        <w:t xml:space="preserve"> </w:t>
      </w:r>
      <w:r w:rsidR="001C5AEA" w:rsidRPr="00BD76E6">
        <w:rPr>
          <w:rFonts w:ascii="Arial" w:hAnsi="Arial" w:cs="Arial"/>
          <w:sz w:val="20"/>
          <w:szCs w:val="20"/>
        </w:rPr>
        <w:t>(Loi n°2020-1674 du 24 décembre 2020).</w:t>
      </w:r>
    </w:p>
    <w:p w14:paraId="1CCE4D4E" w14:textId="295518ED" w:rsidR="00EC1502" w:rsidRPr="00BD76E6" w:rsidRDefault="001D1277" w:rsidP="00252A58">
      <w:pPr>
        <w:spacing w:line="240" w:lineRule="auto"/>
        <w:jc w:val="both"/>
        <w:rPr>
          <w:rFonts w:ascii="Arial" w:hAnsi="Arial" w:cs="Arial"/>
          <w:sz w:val="20"/>
          <w:szCs w:val="20"/>
        </w:rPr>
      </w:pPr>
      <w:r w:rsidRPr="00BD76E6">
        <w:rPr>
          <w:rFonts w:ascii="Arial" w:hAnsi="Arial" w:cs="Arial"/>
          <w:sz w:val="20"/>
          <w:szCs w:val="20"/>
        </w:rPr>
        <w:t xml:space="preserve">Le </w:t>
      </w:r>
      <w:r w:rsidR="0059459B">
        <w:rPr>
          <w:rFonts w:ascii="Arial" w:hAnsi="Arial" w:cs="Arial"/>
          <w:sz w:val="20"/>
          <w:szCs w:val="20"/>
        </w:rPr>
        <w:t>d</w:t>
      </w:r>
      <w:r w:rsidRPr="00BD76E6">
        <w:rPr>
          <w:rFonts w:ascii="Arial" w:hAnsi="Arial" w:cs="Arial"/>
          <w:sz w:val="20"/>
          <w:szCs w:val="20"/>
        </w:rPr>
        <w:t xml:space="preserve">irecteur des Ressources Humaines et des Relations Sociales </w:t>
      </w:r>
      <w:r w:rsidR="002066B9">
        <w:rPr>
          <w:rFonts w:ascii="Arial" w:hAnsi="Arial" w:cs="Arial"/>
          <w:sz w:val="20"/>
          <w:szCs w:val="20"/>
        </w:rPr>
        <w:t>a rappelé</w:t>
      </w:r>
      <w:r w:rsidRPr="00BD76E6">
        <w:rPr>
          <w:rFonts w:ascii="Arial" w:hAnsi="Arial" w:cs="Arial"/>
          <w:sz w:val="20"/>
          <w:szCs w:val="20"/>
        </w:rPr>
        <w:t xml:space="preserve"> que les processus d’Augmentations Individuelles de Salaires et de Promotions (AISP) et de primes actuellement en place au CEA impliquent de facto l’atteinte du niveau de 1.92% de RMPP au titre de l’année 2021 en application des règles de gestion conventionnelles associées à ces processus. </w:t>
      </w:r>
    </w:p>
    <w:p w14:paraId="7461EEC4" w14:textId="2A417D8F" w:rsidR="002066B9" w:rsidRDefault="00DB1ED4">
      <w:pPr>
        <w:spacing w:line="240" w:lineRule="auto"/>
        <w:jc w:val="both"/>
        <w:rPr>
          <w:rFonts w:ascii="Arial" w:hAnsi="Arial" w:cs="Arial"/>
          <w:sz w:val="20"/>
          <w:szCs w:val="20"/>
        </w:rPr>
      </w:pPr>
      <w:r w:rsidRPr="00BD76E6">
        <w:rPr>
          <w:rFonts w:ascii="Arial" w:hAnsi="Arial" w:cs="Arial"/>
          <w:sz w:val="20"/>
          <w:szCs w:val="20"/>
        </w:rPr>
        <w:t xml:space="preserve">Compte tenu du cadrage supplémentaire de 0.08% </w:t>
      </w:r>
      <w:r w:rsidR="003A5EE0">
        <w:rPr>
          <w:rFonts w:ascii="Arial" w:hAnsi="Arial" w:cs="Arial"/>
          <w:sz w:val="20"/>
          <w:szCs w:val="20"/>
        </w:rPr>
        <w:t xml:space="preserve">alloué au CEA </w:t>
      </w:r>
      <w:r w:rsidRPr="00BD76E6">
        <w:rPr>
          <w:rFonts w:ascii="Arial" w:hAnsi="Arial" w:cs="Arial"/>
          <w:sz w:val="20"/>
          <w:szCs w:val="20"/>
        </w:rPr>
        <w:t xml:space="preserve">au titre de la Loi de Programmation de la Recherche, </w:t>
      </w:r>
      <w:r w:rsidR="003A5EE0">
        <w:rPr>
          <w:rFonts w:ascii="Arial" w:hAnsi="Arial" w:cs="Arial"/>
          <w:sz w:val="20"/>
          <w:szCs w:val="20"/>
        </w:rPr>
        <w:t xml:space="preserve">pour lequel </w:t>
      </w:r>
      <w:r w:rsidRPr="00BD76E6">
        <w:rPr>
          <w:rFonts w:ascii="Arial" w:hAnsi="Arial" w:cs="Arial"/>
          <w:sz w:val="20"/>
          <w:szCs w:val="20"/>
        </w:rPr>
        <w:t xml:space="preserve">le CEA rendra compte </w:t>
      </w:r>
      <w:r w:rsidR="003A5EE0">
        <w:rPr>
          <w:rFonts w:ascii="Arial" w:hAnsi="Arial" w:cs="Arial"/>
          <w:sz w:val="20"/>
          <w:szCs w:val="20"/>
        </w:rPr>
        <w:t>à ses tutelles</w:t>
      </w:r>
      <w:r w:rsidR="009856C0">
        <w:rPr>
          <w:rFonts w:ascii="Arial" w:hAnsi="Arial" w:cs="Arial"/>
          <w:sz w:val="20"/>
          <w:szCs w:val="20"/>
        </w:rPr>
        <w:t>, la d</w:t>
      </w:r>
      <w:r w:rsidRPr="00BD76E6">
        <w:rPr>
          <w:rFonts w:ascii="Arial" w:hAnsi="Arial" w:cs="Arial"/>
          <w:sz w:val="20"/>
          <w:szCs w:val="20"/>
        </w:rPr>
        <w:t xml:space="preserve">irection </w:t>
      </w:r>
      <w:r w:rsidR="002066B9">
        <w:rPr>
          <w:rFonts w:ascii="Arial" w:hAnsi="Arial" w:cs="Arial"/>
          <w:sz w:val="20"/>
          <w:szCs w:val="20"/>
        </w:rPr>
        <w:t>a proposé</w:t>
      </w:r>
      <w:r w:rsidRPr="00BD76E6">
        <w:rPr>
          <w:rFonts w:ascii="Arial" w:hAnsi="Arial" w:cs="Arial"/>
          <w:sz w:val="20"/>
          <w:szCs w:val="20"/>
        </w:rPr>
        <w:t xml:space="preserve"> que de nouvelles mesures salariales soient mises en place en 2021. </w:t>
      </w:r>
      <w:r w:rsidR="009856C0">
        <w:rPr>
          <w:rFonts w:ascii="Arial" w:hAnsi="Arial" w:cs="Arial"/>
          <w:sz w:val="20"/>
          <w:szCs w:val="20"/>
        </w:rPr>
        <w:t>La d</w:t>
      </w:r>
      <w:r w:rsidR="00113DD7" w:rsidRPr="00BD76E6">
        <w:rPr>
          <w:rFonts w:ascii="Arial" w:hAnsi="Arial" w:cs="Arial"/>
          <w:sz w:val="20"/>
          <w:szCs w:val="20"/>
        </w:rPr>
        <w:t xml:space="preserve">irection </w:t>
      </w:r>
      <w:r w:rsidR="002066B9">
        <w:rPr>
          <w:rFonts w:ascii="Arial" w:hAnsi="Arial" w:cs="Arial"/>
          <w:sz w:val="20"/>
          <w:szCs w:val="20"/>
        </w:rPr>
        <w:t>a rappelé</w:t>
      </w:r>
      <w:r w:rsidR="009F1329" w:rsidRPr="00BD76E6">
        <w:rPr>
          <w:rFonts w:ascii="Arial" w:hAnsi="Arial" w:cs="Arial"/>
          <w:sz w:val="20"/>
          <w:szCs w:val="20"/>
        </w:rPr>
        <w:t xml:space="preserve"> son objectif de favoriser en priorité les bas salaires et d’améliorer l’attractivité du CEA. Elle </w:t>
      </w:r>
      <w:r w:rsidR="002066B9">
        <w:rPr>
          <w:rFonts w:ascii="Arial" w:hAnsi="Arial" w:cs="Arial"/>
          <w:sz w:val="20"/>
          <w:szCs w:val="20"/>
        </w:rPr>
        <w:t>a précisé</w:t>
      </w:r>
      <w:r w:rsidR="00113DD7" w:rsidRPr="00BD76E6">
        <w:rPr>
          <w:rFonts w:ascii="Arial" w:hAnsi="Arial" w:cs="Arial"/>
          <w:sz w:val="20"/>
          <w:szCs w:val="20"/>
        </w:rPr>
        <w:t xml:space="preserve"> que l’ensemble </w:t>
      </w:r>
      <w:r w:rsidR="009F1329" w:rsidRPr="00BD76E6">
        <w:rPr>
          <w:rFonts w:ascii="Arial" w:hAnsi="Arial" w:cs="Arial"/>
          <w:sz w:val="20"/>
          <w:szCs w:val="20"/>
        </w:rPr>
        <w:t xml:space="preserve">des </w:t>
      </w:r>
      <w:r w:rsidRPr="00BD76E6">
        <w:rPr>
          <w:rFonts w:ascii="Arial" w:hAnsi="Arial" w:cs="Arial"/>
          <w:sz w:val="20"/>
          <w:szCs w:val="20"/>
        </w:rPr>
        <w:t>mesures envisagées</w:t>
      </w:r>
      <w:r w:rsidR="00113DD7" w:rsidRPr="00BD76E6">
        <w:rPr>
          <w:rFonts w:ascii="Arial" w:hAnsi="Arial" w:cs="Arial"/>
          <w:sz w:val="20"/>
          <w:szCs w:val="20"/>
        </w:rPr>
        <w:t xml:space="preserve"> </w:t>
      </w:r>
      <w:r w:rsidR="002066B9">
        <w:rPr>
          <w:rFonts w:ascii="Arial" w:hAnsi="Arial" w:cs="Arial"/>
          <w:sz w:val="20"/>
          <w:szCs w:val="20"/>
        </w:rPr>
        <w:t>devait</w:t>
      </w:r>
      <w:r w:rsidR="00BD76E6">
        <w:rPr>
          <w:rFonts w:ascii="Arial" w:hAnsi="Arial" w:cs="Arial"/>
          <w:sz w:val="20"/>
          <w:szCs w:val="20"/>
        </w:rPr>
        <w:t xml:space="preserve"> être</w:t>
      </w:r>
      <w:r w:rsidR="005E55C1" w:rsidRPr="00BD76E6">
        <w:rPr>
          <w:rFonts w:ascii="Arial" w:hAnsi="Arial" w:cs="Arial"/>
          <w:sz w:val="20"/>
          <w:szCs w:val="20"/>
        </w:rPr>
        <w:t xml:space="preserve"> affecté et </w:t>
      </w:r>
      <w:r w:rsidR="00113DD7" w:rsidRPr="00BD76E6">
        <w:rPr>
          <w:rFonts w:ascii="Arial" w:hAnsi="Arial" w:cs="Arial"/>
          <w:sz w:val="20"/>
          <w:szCs w:val="20"/>
        </w:rPr>
        <w:t>faire l’objet d’une mise en application avant le 31 décembre 2021</w:t>
      </w:r>
      <w:r w:rsidR="003A5EE0">
        <w:rPr>
          <w:rFonts w:ascii="Arial" w:hAnsi="Arial" w:cs="Arial"/>
          <w:sz w:val="20"/>
          <w:szCs w:val="20"/>
        </w:rPr>
        <w:t xml:space="preserve">, ce qui </w:t>
      </w:r>
      <w:r w:rsidR="003374EB">
        <w:rPr>
          <w:rFonts w:ascii="Arial" w:hAnsi="Arial" w:cs="Arial"/>
          <w:sz w:val="20"/>
          <w:szCs w:val="20"/>
        </w:rPr>
        <w:t xml:space="preserve">impose un déploiement rapide des mesures suite à la conclusion de cet accord. </w:t>
      </w:r>
    </w:p>
    <w:p w14:paraId="27DA53B6" w14:textId="2D7AACE5" w:rsidR="002066B9" w:rsidRDefault="002066B9" w:rsidP="002066B9">
      <w:pPr>
        <w:spacing w:line="240" w:lineRule="auto"/>
        <w:jc w:val="both"/>
        <w:rPr>
          <w:rFonts w:ascii="Arial" w:hAnsi="Arial" w:cs="Arial"/>
          <w:sz w:val="20"/>
          <w:szCs w:val="20"/>
        </w:rPr>
      </w:pPr>
      <w:r w:rsidRPr="00BD76E6">
        <w:rPr>
          <w:rFonts w:ascii="Arial" w:hAnsi="Arial" w:cs="Arial"/>
          <w:sz w:val="20"/>
          <w:szCs w:val="20"/>
        </w:rPr>
        <w:t>Compte tenu des éléments de contexte ci-dessus rappelés, les parties signataires conviennent que l’objectif du présent accord est de mettre en place de nouvelles mesures salariales ayant pour objectif de revaloriser les bas salaires et de donner de l’attractivité aux salaires à l’embauche, afin d’attirer de</w:t>
      </w:r>
      <w:r>
        <w:rPr>
          <w:rFonts w:ascii="Arial" w:hAnsi="Arial" w:cs="Arial"/>
          <w:sz w:val="20"/>
          <w:szCs w:val="20"/>
        </w:rPr>
        <w:t>s</w:t>
      </w:r>
      <w:r w:rsidRPr="00BD76E6">
        <w:rPr>
          <w:rFonts w:ascii="Arial" w:hAnsi="Arial" w:cs="Arial"/>
          <w:sz w:val="20"/>
          <w:szCs w:val="20"/>
        </w:rPr>
        <w:t xml:space="preserve"> nouveaux talents et compétences nécessaires aux activités du CEA. </w:t>
      </w:r>
    </w:p>
    <w:p w14:paraId="545A428C" w14:textId="4C21F59F" w:rsidR="00566044" w:rsidRDefault="00566044" w:rsidP="00252A58">
      <w:pPr>
        <w:spacing w:line="240" w:lineRule="auto"/>
        <w:jc w:val="both"/>
        <w:rPr>
          <w:rFonts w:ascii="Arial" w:hAnsi="Arial" w:cs="Arial"/>
          <w:sz w:val="20"/>
          <w:szCs w:val="20"/>
        </w:rPr>
      </w:pPr>
      <w:r w:rsidRPr="00566044">
        <w:rPr>
          <w:rFonts w:ascii="Arial" w:hAnsi="Arial" w:cs="Arial"/>
          <w:sz w:val="20"/>
          <w:szCs w:val="20"/>
        </w:rPr>
        <w:t>Il a été convenu que les présentes mesures fassent l’objet d’un accord spécifique</w:t>
      </w:r>
      <w:r w:rsidR="003A5EE0">
        <w:rPr>
          <w:rFonts w:ascii="Arial" w:hAnsi="Arial" w:cs="Arial"/>
          <w:sz w:val="20"/>
          <w:szCs w:val="20"/>
        </w:rPr>
        <w:t>,</w:t>
      </w:r>
      <w:r w:rsidRPr="00566044">
        <w:rPr>
          <w:rFonts w:ascii="Arial" w:hAnsi="Arial" w:cs="Arial"/>
          <w:sz w:val="20"/>
          <w:szCs w:val="20"/>
        </w:rPr>
        <w:t xml:space="preserve"> distinct des conclusions émises de la NAO 2021.</w:t>
      </w:r>
    </w:p>
    <w:p w14:paraId="60B6E106" w14:textId="01E4290C" w:rsidR="003A5EE0" w:rsidRPr="0064381B" w:rsidRDefault="00123AC5" w:rsidP="003A5EE0">
      <w:pPr>
        <w:jc w:val="both"/>
        <w:rPr>
          <w:rFonts w:ascii="Arial" w:hAnsi="Arial" w:cs="Arial"/>
          <w:sz w:val="20"/>
          <w:szCs w:val="20"/>
        </w:rPr>
      </w:pPr>
      <w:r w:rsidRPr="00BD76E6">
        <w:rPr>
          <w:rFonts w:ascii="Arial" w:hAnsi="Arial" w:cs="Arial"/>
          <w:sz w:val="20"/>
          <w:szCs w:val="20"/>
        </w:rPr>
        <w:t xml:space="preserve">Par ailleurs, les </w:t>
      </w:r>
      <w:r w:rsidR="00DB1ED4" w:rsidRPr="00BD76E6">
        <w:rPr>
          <w:rFonts w:ascii="Arial" w:hAnsi="Arial" w:cs="Arial"/>
          <w:sz w:val="20"/>
          <w:szCs w:val="20"/>
        </w:rPr>
        <w:t>o</w:t>
      </w:r>
      <w:r w:rsidRPr="00BD76E6">
        <w:rPr>
          <w:rFonts w:ascii="Arial" w:hAnsi="Arial" w:cs="Arial"/>
          <w:sz w:val="20"/>
          <w:szCs w:val="20"/>
        </w:rPr>
        <w:t xml:space="preserve">rganisations </w:t>
      </w:r>
      <w:r w:rsidR="00DB1ED4" w:rsidRPr="00BD76E6">
        <w:rPr>
          <w:rFonts w:ascii="Arial" w:hAnsi="Arial" w:cs="Arial"/>
          <w:sz w:val="20"/>
          <w:szCs w:val="20"/>
        </w:rPr>
        <w:t>s</w:t>
      </w:r>
      <w:r w:rsidRPr="00BD76E6">
        <w:rPr>
          <w:rFonts w:ascii="Arial" w:hAnsi="Arial" w:cs="Arial"/>
          <w:sz w:val="20"/>
          <w:szCs w:val="20"/>
        </w:rPr>
        <w:t xml:space="preserve">yndicales </w:t>
      </w:r>
      <w:r w:rsidR="00DB1ED4" w:rsidRPr="00BD76E6">
        <w:rPr>
          <w:rFonts w:ascii="Arial" w:hAnsi="Arial" w:cs="Arial"/>
          <w:sz w:val="20"/>
          <w:szCs w:val="20"/>
        </w:rPr>
        <w:t>représentatives</w:t>
      </w:r>
      <w:r w:rsidR="002066B9">
        <w:rPr>
          <w:rFonts w:ascii="Arial" w:hAnsi="Arial" w:cs="Arial"/>
          <w:sz w:val="20"/>
          <w:szCs w:val="20"/>
        </w:rPr>
        <w:t xml:space="preserve"> ont également exprimé le regret </w:t>
      </w:r>
      <w:r w:rsidRPr="00BD76E6">
        <w:rPr>
          <w:rFonts w:ascii="Arial" w:hAnsi="Arial" w:cs="Arial"/>
          <w:sz w:val="20"/>
          <w:szCs w:val="20"/>
        </w:rPr>
        <w:t xml:space="preserve">qu’aucune discussion </w:t>
      </w:r>
      <w:r w:rsidR="001C368A" w:rsidRPr="00BD76E6">
        <w:rPr>
          <w:rFonts w:ascii="Arial" w:hAnsi="Arial" w:cs="Arial"/>
          <w:sz w:val="20"/>
          <w:szCs w:val="20"/>
        </w:rPr>
        <w:t xml:space="preserve">et études </w:t>
      </w:r>
      <w:r w:rsidRPr="00BD76E6">
        <w:rPr>
          <w:rFonts w:ascii="Arial" w:hAnsi="Arial" w:cs="Arial"/>
          <w:sz w:val="20"/>
          <w:szCs w:val="20"/>
        </w:rPr>
        <w:t xml:space="preserve">dans un </w:t>
      </w:r>
      <w:r w:rsidR="00113DD7" w:rsidRPr="00BD76E6">
        <w:rPr>
          <w:rFonts w:ascii="Arial" w:hAnsi="Arial" w:cs="Arial"/>
          <w:sz w:val="20"/>
          <w:szCs w:val="20"/>
        </w:rPr>
        <w:t>temps</w:t>
      </w:r>
      <w:r w:rsidRPr="00BD76E6">
        <w:rPr>
          <w:rFonts w:ascii="Arial" w:hAnsi="Arial" w:cs="Arial"/>
          <w:sz w:val="20"/>
          <w:szCs w:val="20"/>
        </w:rPr>
        <w:t xml:space="preserve"> raisonnable </w:t>
      </w:r>
      <w:r w:rsidR="002E7A4E" w:rsidRPr="00BD76E6">
        <w:rPr>
          <w:rFonts w:ascii="Arial" w:hAnsi="Arial" w:cs="Arial"/>
          <w:sz w:val="20"/>
          <w:szCs w:val="20"/>
        </w:rPr>
        <w:t>n’aient</w:t>
      </w:r>
      <w:r w:rsidRPr="00BD76E6">
        <w:rPr>
          <w:rFonts w:ascii="Arial" w:hAnsi="Arial" w:cs="Arial"/>
          <w:sz w:val="20"/>
          <w:szCs w:val="20"/>
        </w:rPr>
        <w:t xml:space="preserve"> pu être établi</w:t>
      </w:r>
      <w:r w:rsidR="001C368A" w:rsidRPr="00BD76E6">
        <w:rPr>
          <w:rFonts w:ascii="Arial" w:hAnsi="Arial" w:cs="Arial"/>
          <w:sz w:val="20"/>
          <w:szCs w:val="20"/>
        </w:rPr>
        <w:t>es</w:t>
      </w:r>
      <w:r w:rsidRPr="00BD76E6">
        <w:rPr>
          <w:rFonts w:ascii="Arial" w:hAnsi="Arial" w:cs="Arial"/>
          <w:sz w:val="20"/>
          <w:szCs w:val="20"/>
        </w:rPr>
        <w:t xml:space="preserve"> sur les mesures proposées</w:t>
      </w:r>
      <w:r w:rsidR="00EE3CE5" w:rsidRPr="00BD76E6">
        <w:rPr>
          <w:rFonts w:ascii="Arial" w:hAnsi="Arial" w:cs="Arial"/>
          <w:sz w:val="20"/>
          <w:szCs w:val="20"/>
        </w:rPr>
        <w:t>,</w:t>
      </w:r>
      <w:r w:rsidRPr="00BD76E6">
        <w:rPr>
          <w:rFonts w:ascii="Arial" w:hAnsi="Arial" w:cs="Arial"/>
          <w:sz w:val="20"/>
          <w:szCs w:val="20"/>
        </w:rPr>
        <w:t xml:space="preserve"> afin d’en améliorer</w:t>
      </w:r>
      <w:r w:rsidR="001C368A" w:rsidRPr="00BD76E6">
        <w:rPr>
          <w:rFonts w:ascii="Arial" w:hAnsi="Arial" w:cs="Arial"/>
          <w:sz w:val="20"/>
          <w:szCs w:val="20"/>
        </w:rPr>
        <w:t>,</w:t>
      </w:r>
      <w:r w:rsidRPr="00BD76E6">
        <w:rPr>
          <w:rFonts w:ascii="Arial" w:hAnsi="Arial" w:cs="Arial"/>
          <w:sz w:val="20"/>
          <w:szCs w:val="20"/>
        </w:rPr>
        <w:t xml:space="preserve"> au regard des salariés </w:t>
      </w:r>
      <w:r w:rsidR="001C368A" w:rsidRPr="00BD76E6">
        <w:rPr>
          <w:rFonts w:ascii="Arial" w:hAnsi="Arial" w:cs="Arial"/>
          <w:sz w:val="20"/>
          <w:szCs w:val="20"/>
        </w:rPr>
        <w:t xml:space="preserve">et d’une plus large population en poste, </w:t>
      </w:r>
      <w:r w:rsidRPr="00BD76E6">
        <w:rPr>
          <w:rFonts w:ascii="Arial" w:hAnsi="Arial" w:cs="Arial"/>
          <w:sz w:val="20"/>
          <w:szCs w:val="20"/>
        </w:rPr>
        <w:t xml:space="preserve">les </w:t>
      </w:r>
      <w:r w:rsidR="001C368A" w:rsidRPr="00BD76E6">
        <w:rPr>
          <w:rFonts w:ascii="Arial" w:hAnsi="Arial" w:cs="Arial"/>
          <w:sz w:val="20"/>
          <w:szCs w:val="20"/>
        </w:rPr>
        <w:t xml:space="preserve">différents </w:t>
      </w:r>
      <w:r w:rsidRPr="00BD76E6">
        <w:rPr>
          <w:rFonts w:ascii="Arial" w:hAnsi="Arial" w:cs="Arial"/>
          <w:sz w:val="20"/>
          <w:szCs w:val="20"/>
        </w:rPr>
        <w:t>contenus.</w:t>
      </w:r>
      <w:r w:rsidR="003A5EE0">
        <w:rPr>
          <w:rFonts w:ascii="Arial" w:hAnsi="Arial" w:cs="Arial"/>
          <w:sz w:val="20"/>
          <w:szCs w:val="20"/>
        </w:rPr>
        <w:t xml:space="preserve"> La direction a rappelé les contraintes de calendrier imposées par la notification tardive du cadrage supplémentaire</w:t>
      </w:r>
      <w:r w:rsidR="002F7991" w:rsidRPr="002F7991">
        <w:rPr>
          <w:rFonts w:ascii="Arial" w:hAnsi="Arial" w:cs="Arial"/>
          <w:sz w:val="20"/>
          <w:szCs w:val="20"/>
        </w:rPr>
        <w:t>.</w:t>
      </w:r>
      <w:r w:rsidR="003A5EE0" w:rsidRPr="0064381B">
        <w:rPr>
          <w:rFonts w:ascii="Arial" w:hAnsi="Arial" w:cs="Arial"/>
          <w:sz w:val="20"/>
          <w:szCs w:val="20"/>
        </w:rPr>
        <w:t xml:space="preserve"> </w:t>
      </w:r>
    </w:p>
    <w:p w14:paraId="7755B2E5" w14:textId="567A6452" w:rsidR="002066B9" w:rsidRPr="00BD76E6" w:rsidRDefault="002066B9" w:rsidP="002066B9">
      <w:pPr>
        <w:spacing w:line="240" w:lineRule="auto"/>
        <w:jc w:val="both"/>
        <w:rPr>
          <w:rFonts w:ascii="Arial" w:hAnsi="Arial" w:cs="Arial"/>
          <w:sz w:val="20"/>
          <w:szCs w:val="20"/>
        </w:rPr>
      </w:pPr>
      <w:r>
        <w:rPr>
          <w:rFonts w:ascii="Arial" w:hAnsi="Arial" w:cs="Arial"/>
          <w:sz w:val="20"/>
          <w:szCs w:val="20"/>
        </w:rPr>
        <w:t>En réponse aux revendications intersyndicale</w:t>
      </w:r>
      <w:r w:rsidR="00AC126B">
        <w:rPr>
          <w:rFonts w:ascii="Arial" w:hAnsi="Arial" w:cs="Arial"/>
          <w:sz w:val="20"/>
          <w:szCs w:val="20"/>
        </w:rPr>
        <w:t>s</w:t>
      </w:r>
      <w:r>
        <w:rPr>
          <w:rFonts w:ascii="Arial" w:hAnsi="Arial" w:cs="Arial"/>
          <w:sz w:val="20"/>
          <w:szCs w:val="20"/>
        </w:rPr>
        <w:t>, la direction propose les évolutions telles que prévues au présent accord sur le « biseau » de la prime de poste forfaitisée et sur l’évolution de la prime d’ancienneté pour les annexe 2.</w:t>
      </w:r>
    </w:p>
    <w:p w14:paraId="5DD11639" w14:textId="74B8E63C" w:rsidR="001D1277" w:rsidRDefault="009856C0" w:rsidP="00252A58">
      <w:pPr>
        <w:spacing w:line="240" w:lineRule="auto"/>
        <w:jc w:val="both"/>
        <w:rPr>
          <w:rFonts w:ascii="Arial" w:hAnsi="Arial" w:cs="Arial"/>
          <w:sz w:val="20"/>
          <w:szCs w:val="20"/>
        </w:rPr>
      </w:pPr>
      <w:r>
        <w:rPr>
          <w:rFonts w:ascii="Arial" w:hAnsi="Arial" w:cs="Arial"/>
          <w:sz w:val="20"/>
          <w:szCs w:val="20"/>
        </w:rPr>
        <w:t>La d</w:t>
      </w:r>
      <w:r w:rsidR="001D1277" w:rsidRPr="00BD76E6">
        <w:rPr>
          <w:rFonts w:ascii="Arial" w:hAnsi="Arial" w:cs="Arial"/>
          <w:sz w:val="20"/>
          <w:szCs w:val="20"/>
        </w:rPr>
        <w:t>irection s’engage à ce que les points de revendication</w:t>
      </w:r>
      <w:r w:rsidR="00DB1ED4" w:rsidRPr="00BD76E6">
        <w:rPr>
          <w:rFonts w:ascii="Arial" w:hAnsi="Arial" w:cs="Arial"/>
          <w:sz w:val="20"/>
          <w:szCs w:val="20"/>
        </w:rPr>
        <w:t xml:space="preserve"> transmis par les organisations syndicales représentatives </w:t>
      </w:r>
      <w:r w:rsidR="00737EF6">
        <w:rPr>
          <w:rFonts w:ascii="Arial" w:hAnsi="Arial" w:cs="Arial"/>
          <w:sz w:val="20"/>
          <w:szCs w:val="20"/>
        </w:rPr>
        <w:t xml:space="preserve">au titre de la NAO 2021 </w:t>
      </w:r>
      <w:r w:rsidR="00DB1ED4" w:rsidRPr="00BD76E6">
        <w:rPr>
          <w:rFonts w:ascii="Arial" w:hAnsi="Arial" w:cs="Arial"/>
          <w:sz w:val="20"/>
          <w:szCs w:val="20"/>
        </w:rPr>
        <w:t xml:space="preserve">fassent </w:t>
      </w:r>
      <w:r w:rsidR="001D1277" w:rsidRPr="00BD76E6">
        <w:rPr>
          <w:rFonts w:ascii="Arial" w:hAnsi="Arial" w:cs="Arial"/>
          <w:sz w:val="20"/>
          <w:szCs w:val="20"/>
        </w:rPr>
        <w:t xml:space="preserve">l’objet d’échanges </w:t>
      </w:r>
      <w:r w:rsidR="003A5EE0">
        <w:rPr>
          <w:rFonts w:ascii="Arial" w:hAnsi="Arial" w:cs="Arial"/>
          <w:sz w:val="20"/>
          <w:szCs w:val="20"/>
        </w:rPr>
        <w:t xml:space="preserve">à venir </w:t>
      </w:r>
      <w:r w:rsidR="001D1277" w:rsidRPr="00BD76E6">
        <w:rPr>
          <w:rFonts w:ascii="Arial" w:hAnsi="Arial" w:cs="Arial"/>
          <w:sz w:val="20"/>
          <w:szCs w:val="20"/>
        </w:rPr>
        <w:t xml:space="preserve">dans le cadre des négociations relatives au projet de modernisation sociale. </w:t>
      </w:r>
    </w:p>
    <w:bookmarkEnd w:id="0"/>
    <w:bookmarkEnd w:id="1"/>
    <w:p w14:paraId="6E59FFB0" w14:textId="59B0B50F" w:rsidR="00C32157" w:rsidRPr="00BD76E6" w:rsidRDefault="00146F7B" w:rsidP="00252A58">
      <w:pPr>
        <w:spacing w:line="240" w:lineRule="auto"/>
        <w:jc w:val="both"/>
        <w:rPr>
          <w:rFonts w:ascii="Arial" w:hAnsi="Arial" w:cs="Arial"/>
          <w:sz w:val="20"/>
          <w:szCs w:val="20"/>
        </w:rPr>
      </w:pPr>
      <w:r w:rsidRPr="00BD76E6">
        <w:rPr>
          <w:rFonts w:ascii="Arial" w:hAnsi="Arial" w:cs="Arial"/>
          <w:sz w:val="20"/>
          <w:szCs w:val="20"/>
        </w:rPr>
        <w:t>En conséquence</w:t>
      </w:r>
      <w:r w:rsidR="00B946B5" w:rsidRPr="00BD76E6">
        <w:rPr>
          <w:rFonts w:ascii="Arial" w:hAnsi="Arial" w:cs="Arial"/>
          <w:sz w:val="20"/>
          <w:szCs w:val="20"/>
        </w:rPr>
        <w:t xml:space="preserve"> des échanges réalisés, il </w:t>
      </w:r>
      <w:r w:rsidR="00BE155A">
        <w:rPr>
          <w:rFonts w:ascii="Arial" w:hAnsi="Arial" w:cs="Arial"/>
          <w:sz w:val="20"/>
          <w:szCs w:val="20"/>
        </w:rPr>
        <w:t>a été</w:t>
      </w:r>
      <w:r w:rsidR="00B946B5" w:rsidRPr="00BD76E6">
        <w:rPr>
          <w:rFonts w:ascii="Arial" w:hAnsi="Arial" w:cs="Arial"/>
          <w:sz w:val="20"/>
          <w:szCs w:val="20"/>
        </w:rPr>
        <w:t xml:space="preserve"> convenu de la mise en place des mesures suivantes.</w:t>
      </w:r>
    </w:p>
    <w:p w14:paraId="48D4376A" w14:textId="4FC48F3B" w:rsidR="00B86772" w:rsidRPr="001A1A86" w:rsidRDefault="0032354A" w:rsidP="00252A58">
      <w:pPr>
        <w:spacing w:line="240" w:lineRule="auto"/>
        <w:jc w:val="both"/>
        <w:rPr>
          <w:rFonts w:ascii="Arial" w:hAnsi="Arial" w:cs="Arial"/>
          <w:sz w:val="20"/>
          <w:szCs w:val="20"/>
        </w:rPr>
      </w:pPr>
      <w:r w:rsidRPr="001A1A86">
        <w:rPr>
          <w:rFonts w:ascii="Arial" w:hAnsi="Arial" w:cs="Arial"/>
          <w:sz w:val="20"/>
          <w:szCs w:val="20"/>
        </w:rPr>
        <w:t xml:space="preserve">Concernant les articles </w:t>
      </w:r>
      <w:r w:rsidR="00A20BB3" w:rsidRPr="001A1A86">
        <w:rPr>
          <w:rFonts w:ascii="Arial" w:hAnsi="Arial" w:cs="Arial"/>
          <w:sz w:val="20"/>
          <w:szCs w:val="20"/>
        </w:rPr>
        <w:t>1,</w:t>
      </w:r>
      <w:r w:rsidRPr="001A1A86">
        <w:rPr>
          <w:rFonts w:ascii="Arial" w:hAnsi="Arial" w:cs="Arial"/>
          <w:sz w:val="20"/>
          <w:szCs w:val="20"/>
        </w:rPr>
        <w:t xml:space="preserve"> </w:t>
      </w:r>
      <w:r w:rsidR="00A20BB3" w:rsidRPr="001A1A86">
        <w:rPr>
          <w:rFonts w:ascii="Arial" w:hAnsi="Arial" w:cs="Arial"/>
          <w:sz w:val="20"/>
          <w:szCs w:val="20"/>
        </w:rPr>
        <w:t>2,</w:t>
      </w:r>
      <w:r w:rsidRPr="001A1A86">
        <w:rPr>
          <w:rFonts w:ascii="Arial" w:hAnsi="Arial" w:cs="Arial"/>
          <w:sz w:val="20"/>
          <w:szCs w:val="20"/>
        </w:rPr>
        <w:t xml:space="preserve"> 3, </w:t>
      </w:r>
      <w:r w:rsidR="001D1277" w:rsidRPr="001A1A86">
        <w:rPr>
          <w:rFonts w:ascii="Arial" w:hAnsi="Arial" w:cs="Arial"/>
          <w:sz w:val="20"/>
          <w:szCs w:val="20"/>
        </w:rPr>
        <w:t>il est précisé que</w:t>
      </w:r>
      <w:r w:rsidRPr="001A1A86">
        <w:rPr>
          <w:rFonts w:ascii="Arial" w:hAnsi="Arial" w:cs="Arial"/>
          <w:sz w:val="20"/>
          <w:szCs w:val="20"/>
        </w:rPr>
        <w:t xml:space="preserve"> les grilles de classifications existantes de la convention de travail</w:t>
      </w:r>
      <w:r w:rsidR="001D1277" w:rsidRPr="001A1A86">
        <w:rPr>
          <w:rFonts w:ascii="Arial" w:hAnsi="Arial" w:cs="Arial"/>
          <w:sz w:val="20"/>
          <w:szCs w:val="20"/>
        </w:rPr>
        <w:t xml:space="preserve"> ne sont pas modifiées</w:t>
      </w:r>
      <w:r w:rsidRPr="001A1A86">
        <w:rPr>
          <w:rFonts w:ascii="Arial" w:hAnsi="Arial" w:cs="Arial"/>
          <w:sz w:val="20"/>
          <w:szCs w:val="20"/>
        </w:rPr>
        <w:t>.</w:t>
      </w:r>
    </w:p>
    <w:p w14:paraId="3B9FD344" w14:textId="051CE2EC" w:rsidR="00B86772" w:rsidRDefault="00B86772" w:rsidP="00252A58">
      <w:pPr>
        <w:spacing w:line="240" w:lineRule="auto"/>
        <w:jc w:val="both"/>
        <w:rPr>
          <w:rFonts w:ascii="Arial" w:hAnsi="Arial" w:cs="Arial"/>
          <w:sz w:val="20"/>
          <w:szCs w:val="20"/>
        </w:rPr>
      </w:pPr>
    </w:p>
    <w:p w14:paraId="403A37B9" w14:textId="1DDCB3C6" w:rsidR="00252A58" w:rsidRDefault="00252A58" w:rsidP="00252A58">
      <w:pPr>
        <w:spacing w:line="240" w:lineRule="auto"/>
        <w:jc w:val="both"/>
        <w:rPr>
          <w:rFonts w:ascii="Arial" w:hAnsi="Arial" w:cs="Arial"/>
          <w:sz w:val="20"/>
          <w:szCs w:val="20"/>
        </w:rPr>
      </w:pPr>
    </w:p>
    <w:p w14:paraId="36E97EFC" w14:textId="77777777" w:rsidR="00252A58" w:rsidRPr="00BD76E6" w:rsidRDefault="00252A58" w:rsidP="00252A58">
      <w:pPr>
        <w:spacing w:line="240" w:lineRule="auto"/>
        <w:jc w:val="both"/>
        <w:rPr>
          <w:rFonts w:ascii="Arial" w:hAnsi="Arial" w:cs="Arial"/>
          <w:sz w:val="20"/>
          <w:szCs w:val="20"/>
        </w:rPr>
      </w:pPr>
    </w:p>
    <w:p w14:paraId="2C5EEB8E" w14:textId="5C12DF77" w:rsidR="00B946B5" w:rsidRPr="00BD76E6" w:rsidRDefault="00150D42" w:rsidP="00252A58">
      <w:pPr>
        <w:pStyle w:val="Titre2"/>
      </w:pPr>
      <w:r w:rsidRPr="00BD76E6">
        <w:lastRenderedPageBreak/>
        <w:t xml:space="preserve">Article </w:t>
      </w:r>
      <w:r w:rsidR="005A339D" w:rsidRPr="00BD76E6">
        <w:t>1</w:t>
      </w:r>
      <w:r w:rsidRPr="00BD76E6">
        <w:t xml:space="preserve"> : </w:t>
      </w:r>
      <w:r w:rsidR="00B946B5" w:rsidRPr="00BD76E6">
        <w:t xml:space="preserve">Revalorisation des niveaux </w:t>
      </w:r>
      <w:r w:rsidR="00EC1502" w:rsidRPr="00BD76E6">
        <w:t xml:space="preserve">de </w:t>
      </w:r>
      <w:r w:rsidR="00C405BB" w:rsidRPr="00BD76E6">
        <w:t>classification</w:t>
      </w:r>
      <w:r w:rsidR="00EC1502" w:rsidRPr="00BD76E6">
        <w:t xml:space="preserve"> des diplômes pour les</w:t>
      </w:r>
      <w:r w:rsidR="00B946B5" w:rsidRPr="00BD76E6">
        <w:t xml:space="preserve"> </w:t>
      </w:r>
      <w:r w:rsidR="001D1277" w:rsidRPr="00BD76E6">
        <w:t>salariés relevant de l’annexe 2 de la convention de travail du CEA</w:t>
      </w:r>
    </w:p>
    <w:p w14:paraId="20701D76" w14:textId="6924E907" w:rsidR="001217E5" w:rsidRDefault="001217E5" w:rsidP="001217E5">
      <w:pPr>
        <w:pStyle w:val="texte"/>
        <w:rPr>
          <w:sz w:val="20"/>
          <w:szCs w:val="20"/>
        </w:rPr>
      </w:pPr>
      <w:r>
        <w:rPr>
          <w:sz w:val="20"/>
          <w:szCs w:val="20"/>
        </w:rPr>
        <w:t xml:space="preserve">Compte tenu de l’évolution du </w:t>
      </w:r>
      <w:r w:rsidR="002B0411" w:rsidRPr="00AC126B">
        <w:rPr>
          <w:sz w:val="20"/>
          <w:szCs w:val="20"/>
        </w:rPr>
        <w:t>ni</w:t>
      </w:r>
      <w:r w:rsidR="00FD5A7D" w:rsidRPr="00AC126B">
        <w:rPr>
          <w:sz w:val="20"/>
          <w:szCs w:val="20"/>
        </w:rPr>
        <w:t xml:space="preserve">veau de </w:t>
      </w:r>
      <w:r w:rsidR="00EC1502" w:rsidRPr="00AC126B">
        <w:rPr>
          <w:sz w:val="20"/>
          <w:szCs w:val="20"/>
        </w:rPr>
        <w:t>classification des diplômes pour les s</w:t>
      </w:r>
      <w:r w:rsidR="00FD5A7D" w:rsidRPr="00AC126B">
        <w:rPr>
          <w:sz w:val="20"/>
          <w:szCs w:val="20"/>
        </w:rPr>
        <w:t>alarié</w:t>
      </w:r>
      <w:r w:rsidR="002B0411" w:rsidRPr="00AC126B">
        <w:rPr>
          <w:sz w:val="20"/>
          <w:szCs w:val="20"/>
        </w:rPr>
        <w:t>s relevant de l’</w:t>
      </w:r>
      <w:r>
        <w:rPr>
          <w:sz w:val="20"/>
          <w:szCs w:val="20"/>
        </w:rPr>
        <w:t>a</w:t>
      </w:r>
      <w:r w:rsidR="002B0411" w:rsidRPr="00AC126B">
        <w:rPr>
          <w:sz w:val="20"/>
          <w:szCs w:val="20"/>
        </w:rPr>
        <w:t xml:space="preserve">nnexe 2 </w:t>
      </w:r>
      <w:r>
        <w:rPr>
          <w:sz w:val="20"/>
          <w:szCs w:val="20"/>
        </w:rPr>
        <w:t xml:space="preserve">à </w:t>
      </w:r>
      <w:r w:rsidR="00530E70" w:rsidRPr="00AC126B">
        <w:rPr>
          <w:sz w:val="20"/>
          <w:szCs w:val="20"/>
        </w:rPr>
        <w:t>compter du 1</w:t>
      </w:r>
      <w:r w:rsidR="00530E70" w:rsidRPr="00AC126B">
        <w:rPr>
          <w:sz w:val="20"/>
          <w:szCs w:val="20"/>
          <w:vertAlign w:val="superscript"/>
        </w:rPr>
        <w:t>er</w:t>
      </w:r>
      <w:r w:rsidR="00530E70" w:rsidRPr="00AC126B">
        <w:rPr>
          <w:sz w:val="20"/>
          <w:szCs w:val="20"/>
        </w:rPr>
        <w:t xml:space="preserve"> </w:t>
      </w:r>
      <w:r w:rsidR="00A0269F" w:rsidRPr="00AC126B">
        <w:rPr>
          <w:sz w:val="20"/>
          <w:szCs w:val="20"/>
        </w:rPr>
        <w:t>octobre 2021</w:t>
      </w:r>
      <w:r>
        <w:rPr>
          <w:sz w:val="20"/>
          <w:szCs w:val="20"/>
        </w:rPr>
        <w:t xml:space="preserve">, </w:t>
      </w:r>
      <w:r w:rsidRPr="00AC126B">
        <w:rPr>
          <w:sz w:val="20"/>
          <w:szCs w:val="20"/>
        </w:rPr>
        <w:t>pour tout salarié en poste au 1</w:t>
      </w:r>
      <w:r w:rsidRPr="00AC126B">
        <w:rPr>
          <w:sz w:val="20"/>
          <w:szCs w:val="20"/>
          <w:vertAlign w:val="superscript"/>
        </w:rPr>
        <w:t>er</w:t>
      </w:r>
      <w:r w:rsidRPr="00AC126B">
        <w:rPr>
          <w:sz w:val="20"/>
          <w:szCs w:val="20"/>
        </w:rPr>
        <w:t xml:space="preserve"> octobre 2021, une mesure de rattrapage est établie afin de garantir que la rémunération brute mensuelle (Salaire de Base + Indemnité Compensatrice SMIC + Prime Ancienneté + Prime Spéciale Non Cadre) soit équivalente à la rémunération brute mensuelle correspondant à l’un des 4 niveaux ci-</w:t>
      </w:r>
      <w:r>
        <w:rPr>
          <w:sz w:val="20"/>
          <w:szCs w:val="20"/>
        </w:rPr>
        <w:t>dessous</w:t>
      </w:r>
      <w:r w:rsidRPr="00AC126B">
        <w:rPr>
          <w:sz w:val="20"/>
          <w:szCs w:val="20"/>
        </w:rPr>
        <w:t xml:space="preserve"> indiqué en lien avec son niveau de diplôme. </w:t>
      </w:r>
    </w:p>
    <w:p w14:paraId="68AFAEC4" w14:textId="3D9F3990" w:rsidR="001217E5" w:rsidRPr="00AC126B" w:rsidRDefault="001217E5" w:rsidP="001217E5">
      <w:pPr>
        <w:pStyle w:val="texte"/>
        <w:rPr>
          <w:sz w:val="20"/>
          <w:szCs w:val="20"/>
        </w:rPr>
      </w:pPr>
      <w:r w:rsidRPr="00AC126B">
        <w:rPr>
          <w:sz w:val="20"/>
          <w:szCs w:val="20"/>
        </w:rPr>
        <w:t xml:space="preserve">En conséquence, pour tout salarié concerné, l’indemnité compensatrice SMIC s’intègre à la régularisation établie et n’apparait plus spécifiquement sur les bulletins de salaire </w:t>
      </w:r>
    </w:p>
    <w:p w14:paraId="36D08A77" w14:textId="77777777" w:rsidR="001217E5" w:rsidRPr="00AC126B" w:rsidRDefault="001217E5" w:rsidP="001217E5">
      <w:pPr>
        <w:pStyle w:val="texte"/>
        <w:rPr>
          <w:sz w:val="20"/>
          <w:szCs w:val="20"/>
        </w:rPr>
      </w:pPr>
      <w:r w:rsidRPr="00AC126B">
        <w:rPr>
          <w:sz w:val="20"/>
          <w:szCs w:val="20"/>
        </w:rPr>
        <w:t>Cette mesure est mise en œuvre pour tout salarié en activité professionnelle au CEA au 1</w:t>
      </w:r>
      <w:r w:rsidRPr="00AC126B">
        <w:rPr>
          <w:sz w:val="20"/>
          <w:szCs w:val="20"/>
          <w:vertAlign w:val="superscript"/>
        </w:rPr>
        <w:t>er</w:t>
      </w:r>
      <w:r w:rsidRPr="00AC126B">
        <w:rPr>
          <w:sz w:val="20"/>
          <w:szCs w:val="20"/>
        </w:rPr>
        <w:t xml:space="preserve"> octobre 2021. </w:t>
      </w:r>
    </w:p>
    <w:p w14:paraId="795CDB55" w14:textId="77777777" w:rsidR="001217E5" w:rsidRPr="00AC126B" w:rsidRDefault="001217E5" w:rsidP="001217E5">
      <w:pPr>
        <w:pStyle w:val="texte"/>
        <w:rPr>
          <w:sz w:val="20"/>
          <w:szCs w:val="20"/>
        </w:rPr>
      </w:pPr>
      <w:r w:rsidRPr="00AC126B">
        <w:rPr>
          <w:sz w:val="20"/>
          <w:szCs w:val="20"/>
        </w:rPr>
        <w:t>Elle prend effet soit à la date de début de leur contrat en cours, pour les contrats ayant débuté entre le 1</w:t>
      </w:r>
      <w:r w:rsidRPr="00AC126B">
        <w:rPr>
          <w:sz w:val="20"/>
          <w:szCs w:val="20"/>
          <w:vertAlign w:val="superscript"/>
        </w:rPr>
        <w:t>er</w:t>
      </w:r>
      <w:r w:rsidRPr="00AC126B">
        <w:rPr>
          <w:sz w:val="20"/>
          <w:szCs w:val="20"/>
        </w:rPr>
        <w:t xml:space="preserve"> janvier 2021 et le 30 septembre 2021, soit au 1</w:t>
      </w:r>
      <w:r w:rsidRPr="00AC126B">
        <w:rPr>
          <w:sz w:val="20"/>
          <w:szCs w:val="20"/>
          <w:vertAlign w:val="superscript"/>
        </w:rPr>
        <w:t>er</w:t>
      </w:r>
      <w:r w:rsidRPr="00AC126B">
        <w:rPr>
          <w:sz w:val="20"/>
          <w:szCs w:val="20"/>
        </w:rPr>
        <w:t xml:space="preserve"> janvier 2021 pour les contrats dont la date de début est antérieure.  </w:t>
      </w:r>
    </w:p>
    <w:p w14:paraId="24BE33FC" w14:textId="23D662FB" w:rsidR="00252A58" w:rsidRPr="00AC126B" w:rsidRDefault="001217E5" w:rsidP="00252A58">
      <w:pPr>
        <w:pStyle w:val="texte"/>
        <w:rPr>
          <w:sz w:val="20"/>
          <w:szCs w:val="20"/>
        </w:rPr>
      </w:pPr>
      <w:r>
        <w:rPr>
          <w:sz w:val="20"/>
          <w:szCs w:val="20"/>
        </w:rPr>
        <w:t xml:space="preserve">Pour information, les </w:t>
      </w:r>
      <w:r w:rsidR="00EC1502" w:rsidRPr="00AC126B">
        <w:rPr>
          <w:sz w:val="20"/>
          <w:szCs w:val="20"/>
        </w:rPr>
        <w:t>4 nouveaux niveaux de classification des diplômes sont les suivants :</w:t>
      </w:r>
    </w:p>
    <w:p w14:paraId="083FD70E" w14:textId="25362BFC" w:rsidR="00B946B5" w:rsidRPr="00AC126B" w:rsidRDefault="004610CC" w:rsidP="00252A58">
      <w:pPr>
        <w:pStyle w:val="texte"/>
        <w:numPr>
          <w:ilvl w:val="0"/>
          <w:numId w:val="34"/>
        </w:numPr>
        <w:rPr>
          <w:sz w:val="20"/>
          <w:szCs w:val="20"/>
        </w:rPr>
      </w:pPr>
      <w:r w:rsidRPr="00AC126B">
        <w:rPr>
          <w:sz w:val="20"/>
          <w:szCs w:val="20"/>
        </w:rPr>
        <w:t xml:space="preserve">Sans </w:t>
      </w:r>
      <w:r w:rsidR="002B0411" w:rsidRPr="00AC126B">
        <w:rPr>
          <w:sz w:val="20"/>
          <w:szCs w:val="20"/>
        </w:rPr>
        <w:t>diplôme ou CAP/BEP</w:t>
      </w:r>
      <w:r w:rsidRPr="00AC126B">
        <w:rPr>
          <w:sz w:val="20"/>
          <w:szCs w:val="20"/>
        </w:rPr>
        <w:t xml:space="preserve"> : niveau de classification = N1</w:t>
      </w:r>
      <w:r w:rsidR="003E0B71" w:rsidRPr="00AC126B">
        <w:rPr>
          <w:sz w:val="20"/>
          <w:szCs w:val="20"/>
        </w:rPr>
        <w:t xml:space="preserve"> -</w:t>
      </w:r>
      <w:r w:rsidRPr="00AC126B">
        <w:rPr>
          <w:sz w:val="20"/>
          <w:szCs w:val="20"/>
        </w:rPr>
        <w:t xml:space="preserve"> </w:t>
      </w:r>
      <w:r w:rsidR="002B0411" w:rsidRPr="00AC126B">
        <w:rPr>
          <w:sz w:val="20"/>
          <w:szCs w:val="20"/>
        </w:rPr>
        <w:t xml:space="preserve">280 points. </w:t>
      </w:r>
    </w:p>
    <w:p w14:paraId="2FE1D11C" w14:textId="5790E654" w:rsidR="002B0411" w:rsidRPr="00AC126B" w:rsidRDefault="002B0411" w:rsidP="00252A58">
      <w:pPr>
        <w:pStyle w:val="texte"/>
        <w:numPr>
          <w:ilvl w:val="0"/>
          <w:numId w:val="34"/>
        </w:numPr>
        <w:rPr>
          <w:sz w:val="20"/>
          <w:szCs w:val="20"/>
        </w:rPr>
      </w:pPr>
      <w:r w:rsidRPr="00AC126B">
        <w:rPr>
          <w:sz w:val="20"/>
          <w:szCs w:val="20"/>
        </w:rPr>
        <w:t>BAC</w:t>
      </w:r>
      <w:r w:rsidR="004610CC" w:rsidRPr="00AC126B">
        <w:rPr>
          <w:sz w:val="20"/>
          <w:szCs w:val="20"/>
        </w:rPr>
        <w:t xml:space="preserve"> : niveau de classification = N2</w:t>
      </w:r>
      <w:r w:rsidR="003E0B71" w:rsidRPr="00AC126B">
        <w:rPr>
          <w:sz w:val="20"/>
          <w:szCs w:val="20"/>
        </w:rPr>
        <w:t xml:space="preserve"> -</w:t>
      </w:r>
      <w:r w:rsidR="004610CC" w:rsidRPr="00AC126B">
        <w:rPr>
          <w:sz w:val="20"/>
          <w:szCs w:val="20"/>
        </w:rPr>
        <w:t xml:space="preserve"> </w:t>
      </w:r>
      <w:r w:rsidRPr="00AC126B">
        <w:rPr>
          <w:sz w:val="20"/>
          <w:szCs w:val="20"/>
        </w:rPr>
        <w:t>301 points.</w:t>
      </w:r>
    </w:p>
    <w:p w14:paraId="0F4F842E" w14:textId="58F264D1" w:rsidR="002B0411" w:rsidRPr="00AC126B" w:rsidRDefault="002B0411" w:rsidP="00252A58">
      <w:pPr>
        <w:pStyle w:val="texte"/>
        <w:numPr>
          <w:ilvl w:val="0"/>
          <w:numId w:val="34"/>
        </w:numPr>
        <w:rPr>
          <w:sz w:val="20"/>
          <w:szCs w:val="20"/>
        </w:rPr>
      </w:pPr>
      <w:r w:rsidRPr="00AC126B">
        <w:rPr>
          <w:sz w:val="20"/>
          <w:szCs w:val="20"/>
        </w:rPr>
        <w:t>BAC+2</w:t>
      </w:r>
      <w:r w:rsidR="004610CC" w:rsidRPr="00AC126B">
        <w:rPr>
          <w:sz w:val="20"/>
          <w:szCs w:val="20"/>
        </w:rPr>
        <w:t> : niveau de classification = N4</w:t>
      </w:r>
      <w:r w:rsidR="003E0B71" w:rsidRPr="00AC126B">
        <w:rPr>
          <w:sz w:val="20"/>
          <w:szCs w:val="20"/>
        </w:rPr>
        <w:t xml:space="preserve"> -</w:t>
      </w:r>
      <w:r w:rsidR="004610CC" w:rsidRPr="00AC126B">
        <w:rPr>
          <w:sz w:val="20"/>
          <w:szCs w:val="20"/>
        </w:rPr>
        <w:t xml:space="preserve"> </w:t>
      </w:r>
      <w:r w:rsidRPr="00AC126B">
        <w:rPr>
          <w:sz w:val="20"/>
          <w:szCs w:val="20"/>
        </w:rPr>
        <w:t xml:space="preserve">340 points. </w:t>
      </w:r>
    </w:p>
    <w:p w14:paraId="76850F54" w14:textId="41E075A6" w:rsidR="002B0411" w:rsidRPr="00AC126B" w:rsidRDefault="002B0411" w:rsidP="00252A58">
      <w:pPr>
        <w:pStyle w:val="texte"/>
        <w:numPr>
          <w:ilvl w:val="0"/>
          <w:numId w:val="34"/>
        </w:numPr>
        <w:rPr>
          <w:sz w:val="20"/>
          <w:szCs w:val="20"/>
        </w:rPr>
      </w:pPr>
      <w:r w:rsidRPr="00AC126B">
        <w:rPr>
          <w:sz w:val="20"/>
          <w:szCs w:val="20"/>
        </w:rPr>
        <w:t>BAC+3</w:t>
      </w:r>
      <w:r w:rsidR="004610CC" w:rsidRPr="00AC126B">
        <w:rPr>
          <w:sz w:val="20"/>
          <w:szCs w:val="20"/>
        </w:rPr>
        <w:t xml:space="preserve"> : niveau de classification = </w:t>
      </w:r>
      <w:r w:rsidRPr="00AC126B">
        <w:rPr>
          <w:sz w:val="20"/>
          <w:szCs w:val="20"/>
        </w:rPr>
        <w:t>N5</w:t>
      </w:r>
      <w:r w:rsidR="003E0B71" w:rsidRPr="00AC126B">
        <w:rPr>
          <w:sz w:val="20"/>
          <w:szCs w:val="20"/>
        </w:rPr>
        <w:t xml:space="preserve"> -</w:t>
      </w:r>
      <w:r w:rsidRPr="00AC126B">
        <w:rPr>
          <w:sz w:val="20"/>
          <w:szCs w:val="20"/>
        </w:rPr>
        <w:t xml:space="preserve"> 350 points</w:t>
      </w:r>
      <w:r w:rsidR="004610CC" w:rsidRPr="00AC126B">
        <w:rPr>
          <w:sz w:val="20"/>
          <w:szCs w:val="20"/>
        </w:rPr>
        <w:t>.</w:t>
      </w:r>
    </w:p>
    <w:p w14:paraId="626EAF59" w14:textId="023F8F86" w:rsidR="002B0411" w:rsidRPr="00AC126B" w:rsidRDefault="002B0411" w:rsidP="00252A58">
      <w:pPr>
        <w:pStyle w:val="texte"/>
        <w:rPr>
          <w:sz w:val="20"/>
          <w:szCs w:val="20"/>
        </w:rPr>
      </w:pPr>
      <w:r w:rsidRPr="00AC126B">
        <w:rPr>
          <w:sz w:val="20"/>
          <w:szCs w:val="20"/>
        </w:rPr>
        <w:t xml:space="preserve">Ces points </w:t>
      </w:r>
      <w:r w:rsidR="001A1A86" w:rsidRPr="00AC126B">
        <w:rPr>
          <w:sz w:val="20"/>
          <w:szCs w:val="20"/>
        </w:rPr>
        <w:t>sont</w:t>
      </w:r>
      <w:r w:rsidRPr="00AC126B">
        <w:rPr>
          <w:sz w:val="20"/>
          <w:szCs w:val="20"/>
        </w:rPr>
        <w:t xml:space="preserve"> annexés à la valeur de point en vigueur à signature de leur contrat</w:t>
      </w:r>
      <w:r w:rsidR="00B86772" w:rsidRPr="00AC126B">
        <w:rPr>
          <w:sz w:val="20"/>
          <w:szCs w:val="20"/>
        </w:rPr>
        <w:t>.</w:t>
      </w:r>
    </w:p>
    <w:p w14:paraId="77D0001F" w14:textId="46A904AB" w:rsidR="00004AD5" w:rsidRPr="00AC126B" w:rsidRDefault="0032354A" w:rsidP="00252A58">
      <w:pPr>
        <w:pStyle w:val="texte"/>
        <w:rPr>
          <w:sz w:val="20"/>
          <w:szCs w:val="20"/>
        </w:rPr>
      </w:pPr>
      <w:r w:rsidRPr="00AC126B">
        <w:rPr>
          <w:sz w:val="20"/>
          <w:szCs w:val="20"/>
        </w:rPr>
        <w:t xml:space="preserve">A minima, le </w:t>
      </w:r>
      <w:r w:rsidR="00004AD5" w:rsidRPr="00AC126B">
        <w:rPr>
          <w:sz w:val="20"/>
          <w:szCs w:val="20"/>
        </w:rPr>
        <w:t>coefficient d’entrée pour les salariés embauchés en annexe 2 au CEA, sans expérience professionnelle, est de 280 point</w:t>
      </w:r>
      <w:r w:rsidR="00146F7B" w:rsidRPr="00AC126B">
        <w:rPr>
          <w:sz w:val="20"/>
          <w:szCs w:val="20"/>
        </w:rPr>
        <w:t>s</w:t>
      </w:r>
      <w:r w:rsidR="00004AD5" w:rsidRPr="00AC126B">
        <w:rPr>
          <w:sz w:val="20"/>
          <w:szCs w:val="20"/>
        </w:rPr>
        <w:t>, contre 256 points avant signature du présent accord</w:t>
      </w:r>
      <w:r w:rsidR="00146F7B" w:rsidRPr="00AC126B">
        <w:rPr>
          <w:sz w:val="20"/>
          <w:szCs w:val="20"/>
        </w:rPr>
        <w:t>.</w:t>
      </w:r>
    </w:p>
    <w:p w14:paraId="64AF4FB2" w14:textId="1041BDD0" w:rsidR="00B86772" w:rsidRPr="00BD76E6" w:rsidRDefault="00B86772" w:rsidP="00252A58">
      <w:pPr>
        <w:pStyle w:val="Titre2"/>
      </w:pPr>
      <w:r w:rsidRPr="00BD76E6">
        <w:t xml:space="preserve">Article 2 : Revalorisation des niveaux de </w:t>
      </w:r>
      <w:r w:rsidR="00C405BB" w:rsidRPr="00BD76E6">
        <w:t>classification</w:t>
      </w:r>
      <w:r w:rsidR="00EC1502" w:rsidRPr="00BD76E6">
        <w:t xml:space="preserve"> des diplômes pour l</w:t>
      </w:r>
      <w:r w:rsidRPr="00BD76E6">
        <w:t xml:space="preserve">es </w:t>
      </w:r>
      <w:r w:rsidR="00A57BC4" w:rsidRPr="00BD76E6">
        <w:t>salariés relevant de l’annexe 1 de la convention de travail</w:t>
      </w:r>
      <w:r w:rsidR="00662B3D" w:rsidRPr="00BD76E6">
        <w:t xml:space="preserve"> du CEA</w:t>
      </w:r>
    </w:p>
    <w:p w14:paraId="61F0DDE7" w14:textId="614CE3D6" w:rsidR="00602E2C" w:rsidRPr="00AC126B" w:rsidRDefault="00602E2C" w:rsidP="00602E2C">
      <w:pPr>
        <w:pStyle w:val="texte"/>
        <w:rPr>
          <w:sz w:val="20"/>
          <w:szCs w:val="20"/>
        </w:rPr>
      </w:pPr>
      <w:r>
        <w:rPr>
          <w:sz w:val="20"/>
          <w:szCs w:val="20"/>
        </w:rPr>
        <w:t>Compte tenu de l’évolution du</w:t>
      </w:r>
      <w:r w:rsidR="00C405BB" w:rsidRPr="00AC126B">
        <w:rPr>
          <w:sz w:val="20"/>
          <w:szCs w:val="20"/>
        </w:rPr>
        <w:t xml:space="preserve"> niveau de classification des diplômes pour les salariés </w:t>
      </w:r>
      <w:r w:rsidR="00B86772" w:rsidRPr="00AC126B">
        <w:rPr>
          <w:sz w:val="20"/>
          <w:szCs w:val="20"/>
        </w:rPr>
        <w:t>relevant de l’</w:t>
      </w:r>
      <w:r w:rsidR="000B6352">
        <w:rPr>
          <w:sz w:val="20"/>
          <w:szCs w:val="20"/>
        </w:rPr>
        <w:t>a</w:t>
      </w:r>
      <w:r w:rsidR="00B86772" w:rsidRPr="00AC126B">
        <w:rPr>
          <w:sz w:val="20"/>
          <w:szCs w:val="20"/>
        </w:rPr>
        <w:t>nnexe 1</w:t>
      </w:r>
      <w:r w:rsidR="00A0269F" w:rsidRPr="00AC126B">
        <w:rPr>
          <w:sz w:val="20"/>
          <w:szCs w:val="20"/>
        </w:rPr>
        <w:t xml:space="preserve"> à compter du</w:t>
      </w:r>
      <w:r w:rsidR="00AC126B">
        <w:rPr>
          <w:sz w:val="20"/>
          <w:szCs w:val="20"/>
        </w:rPr>
        <w:t xml:space="preserve"> 1</w:t>
      </w:r>
      <w:r w:rsidR="00AC126B" w:rsidRPr="00AC126B">
        <w:rPr>
          <w:sz w:val="20"/>
          <w:szCs w:val="20"/>
          <w:vertAlign w:val="superscript"/>
        </w:rPr>
        <w:t>er</w:t>
      </w:r>
      <w:r w:rsidR="00AC126B">
        <w:rPr>
          <w:sz w:val="20"/>
          <w:szCs w:val="20"/>
        </w:rPr>
        <w:t xml:space="preserve"> </w:t>
      </w:r>
      <w:r w:rsidR="00A0269F" w:rsidRPr="00AC126B">
        <w:rPr>
          <w:sz w:val="20"/>
          <w:szCs w:val="20"/>
        </w:rPr>
        <w:t>octobre 2021</w:t>
      </w:r>
      <w:r w:rsidRPr="00AC126B">
        <w:rPr>
          <w:sz w:val="20"/>
          <w:szCs w:val="20"/>
        </w:rPr>
        <w:t>, pour tout salarié en poste au 1</w:t>
      </w:r>
      <w:r w:rsidR="000B6352" w:rsidRPr="000B6352">
        <w:rPr>
          <w:sz w:val="20"/>
          <w:szCs w:val="20"/>
          <w:vertAlign w:val="superscript"/>
        </w:rPr>
        <w:t>er</w:t>
      </w:r>
      <w:r w:rsidR="000B6352">
        <w:rPr>
          <w:sz w:val="20"/>
          <w:szCs w:val="20"/>
        </w:rPr>
        <w:t xml:space="preserve"> </w:t>
      </w:r>
      <w:r w:rsidRPr="00AC126B">
        <w:rPr>
          <w:sz w:val="20"/>
          <w:szCs w:val="20"/>
        </w:rPr>
        <w:t>octobre 2021, une mesure de rattrapage est établie afin de garantir que la rémunération brute mensuelle (Salaire de base + Prime Individuelle + Prime Spéciale Cadre) soit équivalente à l’un des 4 niveaux ci-dess</w:t>
      </w:r>
      <w:r>
        <w:rPr>
          <w:sz w:val="20"/>
          <w:szCs w:val="20"/>
        </w:rPr>
        <w:t>o</w:t>
      </w:r>
      <w:r w:rsidRPr="00AC126B">
        <w:rPr>
          <w:sz w:val="20"/>
          <w:szCs w:val="20"/>
        </w:rPr>
        <w:t xml:space="preserve">us indiqué en lien avec son niveau de diplôme. </w:t>
      </w:r>
    </w:p>
    <w:p w14:paraId="707DC8EC" w14:textId="77777777" w:rsidR="00602E2C" w:rsidRPr="00AC126B" w:rsidRDefault="00602E2C" w:rsidP="00602E2C">
      <w:pPr>
        <w:pStyle w:val="texte"/>
        <w:rPr>
          <w:sz w:val="20"/>
          <w:szCs w:val="20"/>
        </w:rPr>
      </w:pPr>
      <w:r w:rsidRPr="00AC126B">
        <w:rPr>
          <w:sz w:val="20"/>
          <w:szCs w:val="20"/>
        </w:rPr>
        <w:t>Cette mesure est mise en œuvre pour tout salarié en activité professionnelle au CEA au 1</w:t>
      </w:r>
      <w:r w:rsidRPr="00AC126B">
        <w:rPr>
          <w:sz w:val="20"/>
          <w:szCs w:val="20"/>
          <w:vertAlign w:val="superscript"/>
        </w:rPr>
        <w:t>er</w:t>
      </w:r>
      <w:r w:rsidRPr="00AC126B">
        <w:rPr>
          <w:sz w:val="20"/>
          <w:szCs w:val="20"/>
        </w:rPr>
        <w:t xml:space="preserve"> octobre 2021. </w:t>
      </w:r>
    </w:p>
    <w:p w14:paraId="2491F60E" w14:textId="77777777" w:rsidR="00602E2C" w:rsidRPr="00AC126B" w:rsidRDefault="00602E2C" w:rsidP="00602E2C">
      <w:pPr>
        <w:pStyle w:val="texte"/>
        <w:rPr>
          <w:sz w:val="20"/>
          <w:szCs w:val="20"/>
        </w:rPr>
      </w:pPr>
      <w:r w:rsidRPr="00AC126B">
        <w:rPr>
          <w:sz w:val="20"/>
          <w:szCs w:val="20"/>
        </w:rPr>
        <w:t>Elle prend effet soit à la date de début de leur contrat en cours, pour les contrats ayant débuté entre le 1</w:t>
      </w:r>
      <w:r w:rsidRPr="00AC126B">
        <w:rPr>
          <w:sz w:val="20"/>
          <w:szCs w:val="20"/>
          <w:vertAlign w:val="superscript"/>
        </w:rPr>
        <w:t>er</w:t>
      </w:r>
      <w:r w:rsidRPr="00AC126B">
        <w:rPr>
          <w:sz w:val="20"/>
          <w:szCs w:val="20"/>
        </w:rPr>
        <w:t xml:space="preserve"> janvier 2021 et le 30 septembre 2021, soit au 1</w:t>
      </w:r>
      <w:r w:rsidRPr="00AC126B">
        <w:rPr>
          <w:sz w:val="20"/>
          <w:szCs w:val="20"/>
          <w:vertAlign w:val="superscript"/>
        </w:rPr>
        <w:t>er</w:t>
      </w:r>
      <w:r w:rsidRPr="00AC126B">
        <w:rPr>
          <w:sz w:val="20"/>
          <w:szCs w:val="20"/>
        </w:rPr>
        <w:t xml:space="preserve"> janvier 2021 pour les contrats dont la date de début est antérieure. </w:t>
      </w:r>
    </w:p>
    <w:p w14:paraId="6187F709" w14:textId="5FE87929" w:rsidR="00252A58" w:rsidRPr="00AC126B" w:rsidRDefault="00602E2C" w:rsidP="00252A58">
      <w:pPr>
        <w:pStyle w:val="texte"/>
        <w:rPr>
          <w:sz w:val="20"/>
          <w:szCs w:val="20"/>
        </w:rPr>
      </w:pPr>
      <w:r>
        <w:rPr>
          <w:sz w:val="20"/>
          <w:szCs w:val="20"/>
        </w:rPr>
        <w:t>Pour information, l</w:t>
      </w:r>
      <w:r w:rsidR="00C405BB" w:rsidRPr="00AC126B">
        <w:rPr>
          <w:sz w:val="20"/>
          <w:szCs w:val="20"/>
        </w:rPr>
        <w:t>es 4 niveaux de classification des diplômes sont les suivants :</w:t>
      </w:r>
    </w:p>
    <w:p w14:paraId="2B4A823A" w14:textId="7D00A04A" w:rsidR="00252A58" w:rsidRPr="00AC126B" w:rsidRDefault="00252A58" w:rsidP="00252A58">
      <w:pPr>
        <w:pStyle w:val="texte"/>
        <w:numPr>
          <w:ilvl w:val="0"/>
          <w:numId w:val="33"/>
        </w:numPr>
        <w:rPr>
          <w:sz w:val="20"/>
          <w:szCs w:val="20"/>
        </w:rPr>
      </w:pPr>
      <w:proofErr w:type="gramStart"/>
      <w:r w:rsidRPr="00AC126B">
        <w:rPr>
          <w:sz w:val="20"/>
          <w:szCs w:val="20"/>
        </w:rPr>
        <w:t>p</w:t>
      </w:r>
      <w:r w:rsidR="004610CC" w:rsidRPr="00AC126B">
        <w:rPr>
          <w:sz w:val="20"/>
          <w:szCs w:val="20"/>
        </w:rPr>
        <w:t>our</w:t>
      </w:r>
      <w:proofErr w:type="gramEnd"/>
      <w:r w:rsidR="004610CC" w:rsidRPr="00AC126B">
        <w:rPr>
          <w:sz w:val="20"/>
          <w:szCs w:val="20"/>
        </w:rPr>
        <w:t xml:space="preserve"> l’ensemble des diplômes, précédemment positionnés 389 / 410 / 425 points, niveau de cla</w:t>
      </w:r>
      <w:r w:rsidR="003E0B71" w:rsidRPr="00AC126B">
        <w:rPr>
          <w:sz w:val="20"/>
          <w:szCs w:val="20"/>
        </w:rPr>
        <w:t>ssification unique à savoir E1 -</w:t>
      </w:r>
      <w:r w:rsidR="004610CC" w:rsidRPr="00AC126B">
        <w:rPr>
          <w:sz w:val="20"/>
          <w:szCs w:val="20"/>
        </w:rPr>
        <w:t xml:space="preserve"> 430 points </w:t>
      </w:r>
      <w:r w:rsidR="00B86772" w:rsidRPr="00AC126B">
        <w:rPr>
          <w:sz w:val="20"/>
          <w:szCs w:val="20"/>
        </w:rPr>
        <w:t xml:space="preserve"> </w:t>
      </w:r>
    </w:p>
    <w:p w14:paraId="174DDBBB" w14:textId="77777777" w:rsidR="00252A58" w:rsidRPr="00AC126B" w:rsidRDefault="00252A58" w:rsidP="00252A58">
      <w:pPr>
        <w:pStyle w:val="texte"/>
        <w:numPr>
          <w:ilvl w:val="0"/>
          <w:numId w:val="33"/>
        </w:numPr>
        <w:rPr>
          <w:sz w:val="20"/>
          <w:szCs w:val="20"/>
        </w:rPr>
      </w:pPr>
      <w:proofErr w:type="gramStart"/>
      <w:r w:rsidRPr="00AC126B">
        <w:rPr>
          <w:sz w:val="20"/>
          <w:szCs w:val="20"/>
        </w:rPr>
        <w:t>l</w:t>
      </w:r>
      <w:r w:rsidR="004610CC" w:rsidRPr="00AC126B">
        <w:rPr>
          <w:sz w:val="20"/>
          <w:szCs w:val="20"/>
        </w:rPr>
        <w:t>e</w:t>
      </w:r>
      <w:proofErr w:type="gramEnd"/>
      <w:r w:rsidR="004610CC" w:rsidRPr="00AC126B">
        <w:rPr>
          <w:sz w:val="20"/>
          <w:szCs w:val="20"/>
        </w:rPr>
        <w:t xml:space="preserve"> niveau de classification</w:t>
      </w:r>
      <w:r w:rsidR="002E7A4E" w:rsidRPr="00AC126B">
        <w:rPr>
          <w:sz w:val="20"/>
          <w:szCs w:val="20"/>
        </w:rPr>
        <w:t xml:space="preserve"> des diplômes E1 – 456 points </w:t>
      </w:r>
      <w:r w:rsidRPr="00AC126B">
        <w:rPr>
          <w:sz w:val="20"/>
          <w:szCs w:val="20"/>
        </w:rPr>
        <w:t>reste inchangé</w:t>
      </w:r>
    </w:p>
    <w:p w14:paraId="5B609658" w14:textId="75E8DE07" w:rsidR="00D71DEE" w:rsidRPr="00AC126B" w:rsidRDefault="00252A58" w:rsidP="00252A58">
      <w:pPr>
        <w:pStyle w:val="texte"/>
        <w:numPr>
          <w:ilvl w:val="0"/>
          <w:numId w:val="33"/>
        </w:numPr>
        <w:rPr>
          <w:sz w:val="20"/>
          <w:szCs w:val="20"/>
        </w:rPr>
      </w:pPr>
      <w:proofErr w:type="gramStart"/>
      <w:r w:rsidRPr="00AC126B">
        <w:rPr>
          <w:sz w:val="20"/>
          <w:szCs w:val="20"/>
        </w:rPr>
        <w:t>l</w:t>
      </w:r>
      <w:r w:rsidR="002E7A4E" w:rsidRPr="00AC126B">
        <w:rPr>
          <w:sz w:val="20"/>
          <w:szCs w:val="20"/>
        </w:rPr>
        <w:t>e</w:t>
      </w:r>
      <w:proofErr w:type="gramEnd"/>
      <w:r w:rsidR="002E7A4E" w:rsidRPr="00AC126B">
        <w:rPr>
          <w:sz w:val="20"/>
          <w:szCs w:val="20"/>
        </w:rPr>
        <w:t xml:space="preserve"> niveau de classification des diplômes E1 – 473 points reste inchangé </w:t>
      </w:r>
    </w:p>
    <w:p w14:paraId="0205C195" w14:textId="2DC0B8B4" w:rsidR="003E329D" w:rsidRPr="00AC126B" w:rsidRDefault="00252A58" w:rsidP="00252A58">
      <w:pPr>
        <w:pStyle w:val="texte"/>
        <w:numPr>
          <w:ilvl w:val="0"/>
          <w:numId w:val="33"/>
        </w:numPr>
        <w:rPr>
          <w:sz w:val="20"/>
          <w:szCs w:val="20"/>
        </w:rPr>
      </w:pPr>
      <w:proofErr w:type="gramStart"/>
      <w:r w:rsidRPr="00AC126B">
        <w:rPr>
          <w:sz w:val="20"/>
          <w:szCs w:val="20"/>
        </w:rPr>
        <w:t>p</w:t>
      </w:r>
      <w:r w:rsidR="005A6E83" w:rsidRPr="00AC126B">
        <w:rPr>
          <w:sz w:val="20"/>
          <w:szCs w:val="20"/>
        </w:rPr>
        <w:t>our</w:t>
      </w:r>
      <w:proofErr w:type="gramEnd"/>
      <w:r w:rsidR="005A6E83" w:rsidRPr="00AC126B">
        <w:rPr>
          <w:sz w:val="20"/>
          <w:szCs w:val="20"/>
        </w:rPr>
        <w:t xml:space="preserve"> l’ensemble des diplômes, précédemment positionnés 493 / 503 points, un niveau de cla</w:t>
      </w:r>
      <w:r w:rsidR="003E0B71" w:rsidRPr="00AC126B">
        <w:rPr>
          <w:sz w:val="20"/>
          <w:szCs w:val="20"/>
        </w:rPr>
        <w:t>ssification unique à savoir E1 -</w:t>
      </w:r>
      <w:r w:rsidR="00B745B4" w:rsidRPr="00AC126B">
        <w:rPr>
          <w:sz w:val="20"/>
          <w:szCs w:val="20"/>
        </w:rPr>
        <w:t xml:space="preserve"> 503 points </w:t>
      </w:r>
      <w:r w:rsidR="005A6E83" w:rsidRPr="00AC126B">
        <w:rPr>
          <w:sz w:val="20"/>
          <w:szCs w:val="20"/>
        </w:rPr>
        <w:t xml:space="preserve"> </w:t>
      </w:r>
    </w:p>
    <w:p w14:paraId="3CCDB362" w14:textId="77777777" w:rsidR="00992165" w:rsidRDefault="00662B3D" w:rsidP="00252A58">
      <w:pPr>
        <w:pStyle w:val="texte"/>
        <w:rPr>
          <w:sz w:val="20"/>
          <w:szCs w:val="20"/>
        </w:rPr>
      </w:pPr>
      <w:r w:rsidRPr="00AC126B">
        <w:rPr>
          <w:sz w:val="20"/>
          <w:szCs w:val="20"/>
        </w:rPr>
        <w:t xml:space="preserve">Ces points </w:t>
      </w:r>
      <w:r w:rsidR="00252A58" w:rsidRPr="00AC126B">
        <w:rPr>
          <w:sz w:val="20"/>
          <w:szCs w:val="20"/>
        </w:rPr>
        <w:t>sont</w:t>
      </w:r>
      <w:r w:rsidRPr="00AC126B">
        <w:rPr>
          <w:sz w:val="20"/>
          <w:szCs w:val="20"/>
        </w:rPr>
        <w:t xml:space="preserve"> annexés à la valeur de point en vigueur à signature de leur contrat.</w:t>
      </w:r>
      <w:r w:rsidR="00992165">
        <w:rPr>
          <w:sz w:val="20"/>
          <w:szCs w:val="20"/>
        </w:rPr>
        <w:t xml:space="preserve"> </w:t>
      </w:r>
    </w:p>
    <w:p w14:paraId="5FFADF56" w14:textId="6A7E603B" w:rsidR="00662B3D" w:rsidRPr="00AC126B" w:rsidRDefault="00992165" w:rsidP="00252A58">
      <w:pPr>
        <w:pStyle w:val="texte"/>
        <w:rPr>
          <w:sz w:val="20"/>
          <w:szCs w:val="20"/>
        </w:rPr>
      </w:pPr>
      <w:r>
        <w:rPr>
          <w:sz w:val="20"/>
          <w:szCs w:val="20"/>
        </w:rPr>
        <w:lastRenderedPageBreak/>
        <w:t xml:space="preserve">Les niveaux de classification </w:t>
      </w:r>
      <w:r w:rsidR="006E6590">
        <w:rPr>
          <w:sz w:val="20"/>
          <w:szCs w:val="20"/>
        </w:rPr>
        <w:t xml:space="preserve">des diplômes </w:t>
      </w:r>
      <w:r>
        <w:rPr>
          <w:sz w:val="20"/>
          <w:szCs w:val="20"/>
        </w:rPr>
        <w:t xml:space="preserve">sont revus au regard des niveaux de classification existants dans le titre 2 – chapitre 3 du code de gestion </w:t>
      </w:r>
      <w:r w:rsidRPr="00992165">
        <w:rPr>
          <w:i/>
          <w:sz w:val="20"/>
          <w:szCs w:val="20"/>
        </w:rPr>
        <w:t>« les niveaux de classification des diplômes autorisant le recrutement »</w:t>
      </w:r>
      <w:r>
        <w:rPr>
          <w:sz w:val="20"/>
          <w:szCs w:val="20"/>
        </w:rPr>
        <w:t xml:space="preserve"> version juin 2019.</w:t>
      </w:r>
    </w:p>
    <w:p w14:paraId="1E5307F3" w14:textId="3057F2F6" w:rsidR="00BD1F85" w:rsidRPr="00AC126B" w:rsidRDefault="00BD1F85" w:rsidP="00252A58">
      <w:pPr>
        <w:pStyle w:val="texte"/>
        <w:rPr>
          <w:sz w:val="20"/>
          <w:szCs w:val="20"/>
          <w:highlight w:val="yellow"/>
        </w:rPr>
      </w:pPr>
      <w:r w:rsidRPr="00AC126B">
        <w:rPr>
          <w:sz w:val="20"/>
          <w:szCs w:val="20"/>
        </w:rPr>
        <w:t>A minima, le coefficient d’entrée pour les salariés</w:t>
      </w:r>
      <w:r w:rsidR="008D7ADB" w:rsidRPr="00AC126B">
        <w:rPr>
          <w:sz w:val="20"/>
          <w:szCs w:val="20"/>
        </w:rPr>
        <w:t xml:space="preserve"> embauchés</w:t>
      </w:r>
      <w:r w:rsidRPr="00AC126B">
        <w:rPr>
          <w:sz w:val="20"/>
          <w:szCs w:val="20"/>
        </w:rPr>
        <w:t xml:space="preserve"> en annexe 1</w:t>
      </w:r>
      <w:r w:rsidR="008D7ADB" w:rsidRPr="00AC126B">
        <w:rPr>
          <w:sz w:val="20"/>
          <w:szCs w:val="20"/>
        </w:rPr>
        <w:t xml:space="preserve"> </w:t>
      </w:r>
      <w:r w:rsidRPr="00AC126B">
        <w:rPr>
          <w:sz w:val="20"/>
          <w:szCs w:val="20"/>
        </w:rPr>
        <w:t>au CEA, sans expérience professionnelle, est de 430 point</w:t>
      </w:r>
      <w:r w:rsidR="00740D11">
        <w:rPr>
          <w:sz w:val="20"/>
          <w:szCs w:val="20"/>
        </w:rPr>
        <w:t>s</w:t>
      </w:r>
      <w:r w:rsidRPr="00AC126B">
        <w:rPr>
          <w:sz w:val="20"/>
          <w:szCs w:val="20"/>
        </w:rPr>
        <w:t>, contre 389 points avant signature du présent accord</w:t>
      </w:r>
    </w:p>
    <w:p w14:paraId="55BFD910" w14:textId="2F18AFDC" w:rsidR="00AD5B8C" w:rsidRPr="00BD76E6" w:rsidRDefault="00AD5B8C" w:rsidP="00252A58">
      <w:pPr>
        <w:pStyle w:val="Titre2"/>
      </w:pPr>
      <w:r w:rsidRPr="00BD76E6">
        <w:t xml:space="preserve">Article 3 : Revalorisation des niveaux de </w:t>
      </w:r>
      <w:r w:rsidR="00C405BB" w:rsidRPr="00BD76E6">
        <w:t>classification des diplômes pour l</w:t>
      </w:r>
      <w:r w:rsidRPr="00BD76E6">
        <w:t xml:space="preserve">es </w:t>
      </w:r>
      <w:r w:rsidR="00A57BC4" w:rsidRPr="00BD76E6">
        <w:t xml:space="preserve">salariés CEA ayant le titre de </w:t>
      </w:r>
      <w:r w:rsidR="00EE7667" w:rsidRPr="00BD76E6">
        <w:t>« </w:t>
      </w:r>
      <w:r w:rsidRPr="00BD76E6">
        <w:t>docteur</w:t>
      </w:r>
      <w:r w:rsidR="00EE7667" w:rsidRPr="00BD76E6">
        <w:t> »</w:t>
      </w:r>
      <w:r w:rsidRPr="00BD76E6">
        <w:t xml:space="preserve"> </w:t>
      </w:r>
    </w:p>
    <w:p w14:paraId="6C604077" w14:textId="7E824E12" w:rsidR="008B690F" w:rsidRPr="00AC126B" w:rsidRDefault="000B6352" w:rsidP="00252A58">
      <w:pPr>
        <w:pStyle w:val="texte"/>
        <w:rPr>
          <w:sz w:val="20"/>
          <w:szCs w:val="20"/>
        </w:rPr>
      </w:pPr>
      <w:r>
        <w:rPr>
          <w:sz w:val="20"/>
          <w:szCs w:val="20"/>
        </w:rPr>
        <w:t xml:space="preserve">Compte tenu de l’évolution du </w:t>
      </w:r>
      <w:r w:rsidR="00AD5B8C" w:rsidRPr="00AC126B">
        <w:rPr>
          <w:sz w:val="20"/>
          <w:szCs w:val="20"/>
        </w:rPr>
        <w:t xml:space="preserve">niveau de </w:t>
      </w:r>
      <w:r w:rsidR="00C405BB" w:rsidRPr="00AC126B">
        <w:rPr>
          <w:sz w:val="20"/>
          <w:szCs w:val="20"/>
        </w:rPr>
        <w:t>classification des diplômes des doctor</w:t>
      </w:r>
      <w:r w:rsidR="00127EA7">
        <w:rPr>
          <w:sz w:val="20"/>
          <w:szCs w:val="20"/>
        </w:rPr>
        <w:t>a</w:t>
      </w:r>
      <w:r w:rsidR="00C405BB" w:rsidRPr="00AC126B">
        <w:rPr>
          <w:sz w:val="20"/>
          <w:szCs w:val="20"/>
        </w:rPr>
        <w:t>ts au 1</w:t>
      </w:r>
      <w:r w:rsidR="00C405BB" w:rsidRPr="00AC126B">
        <w:rPr>
          <w:sz w:val="20"/>
          <w:szCs w:val="20"/>
          <w:vertAlign w:val="superscript"/>
        </w:rPr>
        <w:t>er</w:t>
      </w:r>
      <w:r w:rsidR="00C405BB" w:rsidRPr="00AC126B">
        <w:rPr>
          <w:sz w:val="20"/>
          <w:szCs w:val="20"/>
        </w:rPr>
        <w:t xml:space="preserve"> octobre 2021</w:t>
      </w:r>
      <w:r>
        <w:rPr>
          <w:sz w:val="20"/>
          <w:szCs w:val="20"/>
        </w:rPr>
        <w:t xml:space="preserve">, </w:t>
      </w:r>
      <w:r w:rsidRPr="00AC126B">
        <w:rPr>
          <w:sz w:val="20"/>
          <w:szCs w:val="20"/>
        </w:rPr>
        <w:t xml:space="preserve">pour tout salarié « docteur », une mesure de rattrapage est établie afin de garantir que la rémunération brute mensuelle (Salaire de base + Prime Individuelle + Prime Spéciale Cadre) soit équivalente à l’un des </w:t>
      </w:r>
      <w:r>
        <w:rPr>
          <w:sz w:val="20"/>
          <w:szCs w:val="20"/>
        </w:rPr>
        <w:t>4</w:t>
      </w:r>
      <w:r w:rsidRPr="00AC126B">
        <w:rPr>
          <w:sz w:val="20"/>
          <w:szCs w:val="20"/>
        </w:rPr>
        <w:t xml:space="preserve"> niveaux</w:t>
      </w:r>
      <w:r>
        <w:rPr>
          <w:sz w:val="20"/>
          <w:szCs w:val="20"/>
        </w:rPr>
        <w:t xml:space="preserve"> précisés dans l’article 2</w:t>
      </w:r>
      <w:r w:rsidR="00127EA7">
        <w:rPr>
          <w:sz w:val="20"/>
          <w:szCs w:val="20"/>
        </w:rPr>
        <w:t xml:space="preserve">, </w:t>
      </w:r>
      <w:r>
        <w:rPr>
          <w:sz w:val="20"/>
          <w:szCs w:val="20"/>
        </w:rPr>
        <w:t>majorés comme indiqué</w:t>
      </w:r>
      <w:r w:rsidR="00127EA7">
        <w:rPr>
          <w:sz w:val="20"/>
          <w:szCs w:val="20"/>
        </w:rPr>
        <w:t>s</w:t>
      </w:r>
      <w:r>
        <w:rPr>
          <w:sz w:val="20"/>
          <w:szCs w:val="20"/>
        </w:rPr>
        <w:t xml:space="preserve"> ci-dessous.</w:t>
      </w:r>
    </w:p>
    <w:p w14:paraId="6F31A014" w14:textId="77777777" w:rsidR="000B6352" w:rsidRPr="00AC126B" w:rsidRDefault="000B6352" w:rsidP="000B6352">
      <w:pPr>
        <w:pStyle w:val="texte"/>
        <w:rPr>
          <w:sz w:val="20"/>
          <w:szCs w:val="20"/>
        </w:rPr>
      </w:pPr>
      <w:r w:rsidRPr="00AC126B">
        <w:rPr>
          <w:sz w:val="20"/>
          <w:szCs w:val="20"/>
        </w:rPr>
        <w:t>Cette mesure est mise en œuvre pour tout salarié en activité professionnelle au CEA au 1</w:t>
      </w:r>
      <w:r w:rsidRPr="00AC126B">
        <w:rPr>
          <w:sz w:val="20"/>
          <w:szCs w:val="20"/>
          <w:vertAlign w:val="superscript"/>
        </w:rPr>
        <w:t>er</w:t>
      </w:r>
      <w:r w:rsidRPr="00AC126B">
        <w:rPr>
          <w:sz w:val="20"/>
          <w:szCs w:val="20"/>
        </w:rPr>
        <w:t xml:space="preserve"> octobre 2021. </w:t>
      </w:r>
    </w:p>
    <w:p w14:paraId="5DD71EF1" w14:textId="77777777" w:rsidR="000B6352" w:rsidRPr="00AC126B" w:rsidRDefault="000B6352" w:rsidP="000B6352">
      <w:pPr>
        <w:pStyle w:val="texte"/>
        <w:rPr>
          <w:sz w:val="20"/>
          <w:szCs w:val="20"/>
        </w:rPr>
      </w:pPr>
      <w:r w:rsidRPr="00AC126B">
        <w:rPr>
          <w:sz w:val="20"/>
          <w:szCs w:val="20"/>
        </w:rPr>
        <w:t>Elle prend effet soit à la date de début de leur contrat en cours, pour les contrats ayant débuté entre le 1</w:t>
      </w:r>
      <w:r w:rsidRPr="00AC126B">
        <w:rPr>
          <w:sz w:val="20"/>
          <w:szCs w:val="20"/>
          <w:vertAlign w:val="superscript"/>
        </w:rPr>
        <w:t>er</w:t>
      </w:r>
      <w:r w:rsidRPr="00AC126B">
        <w:rPr>
          <w:sz w:val="20"/>
          <w:szCs w:val="20"/>
        </w:rPr>
        <w:t xml:space="preserve"> janvier 2021 et le 30 septembre 2021, soit au 1</w:t>
      </w:r>
      <w:r w:rsidRPr="00AC126B">
        <w:rPr>
          <w:sz w:val="20"/>
          <w:szCs w:val="20"/>
          <w:vertAlign w:val="superscript"/>
        </w:rPr>
        <w:t>er</w:t>
      </w:r>
      <w:r w:rsidRPr="00AC126B">
        <w:rPr>
          <w:sz w:val="20"/>
          <w:szCs w:val="20"/>
        </w:rPr>
        <w:t xml:space="preserve"> janvier 2021 pour les contrats dont la date de début est antérieure.   </w:t>
      </w:r>
    </w:p>
    <w:p w14:paraId="33F9F8CF" w14:textId="77777777" w:rsidR="00887519" w:rsidRDefault="000B6352" w:rsidP="00887519">
      <w:pPr>
        <w:pStyle w:val="texte"/>
        <w:rPr>
          <w:sz w:val="20"/>
          <w:szCs w:val="20"/>
        </w:rPr>
      </w:pPr>
      <w:r>
        <w:rPr>
          <w:sz w:val="20"/>
          <w:szCs w:val="20"/>
        </w:rPr>
        <w:t>Pour information, p</w:t>
      </w:r>
      <w:r w:rsidR="005A6E83" w:rsidRPr="00AC126B">
        <w:rPr>
          <w:sz w:val="20"/>
          <w:szCs w:val="20"/>
        </w:rPr>
        <w:t>our les diplômes de doctorat, le niveau de classification au recrutement est majoré</w:t>
      </w:r>
      <w:r w:rsidR="00887519">
        <w:rPr>
          <w:sz w:val="20"/>
          <w:szCs w:val="20"/>
        </w:rPr>
        <w:t xml:space="preserve"> </w:t>
      </w:r>
      <w:r w:rsidR="005A6E83" w:rsidRPr="00AC126B">
        <w:rPr>
          <w:sz w:val="20"/>
          <w:szCs w:val="20"/>
        </w:rPr>
        <w:t xml:space="preserve">de </w:t>
      </w:r>
      <w:r w:rsidR="00AD5B8C" w:rsidRPr="00AC126B">
        <w:rPr>
          <w:sz w:val="20"/>
          <w:szCs w:val="20"/>
        </w:rPr>
        <w:t xml:space="preserve">90 points </w:t>
      </w:r>
      <w:r w:rsidR="005A6E83" w:rsidRPr="00AC126B">
        <w:rPr>
          <w:sz w:val="20"/>
          <w:szCs w:val="20"/>
        </w:rPr>
        <w:t>par rapport au diplôme avant thèse</w:t>
      </w:r>
      <w:r w:rsidR="00AD5B8C" w:rsidRPr="00AC126B">
        <w:rPr>
          <w:sz w:val="20"/>
          <w:szCs w:val="20"/>
        </w:rPr>
        <w:t>.</w:t>
      </w:r>
      <w:r w:rsidR="00D71DEE" w:rsidRPr="00AC126B">
        <w:rPr>
          <w:sz w:val="20"/>
          <w:szCs w:val="20"/>
        </w:rPr>
        <w:t xml:space="preserve"> </w:t>
      </w:r>
    </w:p>
    <w:p w14:paraId="69B17840" w14:textId="48F4B574" w:rsidR="00D71DEE" w:rsidRPr="00AC126B" w:rsidRDefault="00887519" w:rsidP="00887519">
      <w:pPr>
        <w:pStyle w:val="texte"/>
        <w:rPr>
          <w:sz w:val="20"/>
          <w:szCs w:val="20"/>
        </w:rPr>
      </w:pPr>
      <w:r>
        <w:rPr>
          <w:sz w:val="20"/>
          <w:szCs w:val="20"/>
        </w:rPr>
        <w:t xml:space="preserve">En conséquence, </w:t>
      </w:r>
      <w:r w:rsidR="00D71DEE" w:rsidRPr="00AC126B">
        <w:rPr>
          <w:sz w:val="20"/>
          <w:szCs w:val="20"/>
        </w:rPr>
        <w:t>pour un salarié « docteur » positionné selon son diplôme précédent à un coefficient de 430</w:t>
      </w:r>
      <w:r>
        <w:rPr>
          <w:sz w:val="20"/>
          <w:szCs w:val="20"/>
        </w:rPr>
        <w:t xml:space="preserve"> points</w:t>
      </w:r>
      <w:r w:rsidR="00D71DEE" w:rsidRPr="00AC126B">
        <w:rPr>
          <w:sz w:val="20"/>
          <w:szCs w:val="20"/>
        </w:rPr>
        <w:t xml:space="preserve">, un coefficient d’entrée de 520 points lui </w:t>
      </w:r>
      <w:r w:rsidR="00843469" w:rsidRPr="00AC126B">
        <w:rPr>
          <w:sz w:val="20"/>
          <w:szCs w:val="20"/>
        </w:rPr>
        <w:t>est</w:t>
      </w:r>
      <w:r w:rsidR="00D71DEE" w:rsidRPr="00AC126B">
        <w:rPr>
          <w:sz w:val="20"/>
          <w:szCs w:val="20"/>
        </w:rPr>
        <w:t xml:space="preserve"> attribué. </w:t>
      </w:r>
    </w:p>
    <w:p w14:paraId="508F2095" w14:textId="57C5C703" w:rsidR="00AD5B8C" w:rsidRPr="00AC126B" w:rsidRDefault="00887519" w:rsidP="00887519">
      <w:pPr>
        <w:pStyle w:val="texte"/>
        <w:rPr>
          <w:sz w:val="20"/>
          <w:szCs w:val="20"/>
        </w:rPr>
      </w:pPr>
      <w:r>
        <w:rPr>
          <w:sz w:val="20"/>
          <w:szCs w:val="20"/>
        </w:rPr>
        <w:t xml:space="preserve">Une exception, pour les </w:t>
      </w:r>
      <w:r w:rsidR="005A6E83" w:rsidRPr="00AC126B">
        <w:rPr>
          <w:sz w:val="20"/>
          <w:szCs w:val="20"/>
        </w:rPr>
        <w:t xml:space="preserve">« doctorats » </w:t>
      </w:r>
      <w:r w:rsidR="00CD61C4" w:rsidRPr="00AC126B">
        <w:rPr>
          <w:sz w:val="20"/>
          <w:szCs w:val="20"/>
        </w:rPr>
        <w:t xml:space="preserve">obtenus aux </w:t>
      </w:r>
      <w:r w:rsidR="00AD5B8C" w:rsidRPr="00AC126B">
        <w:rPr>
          <w:sz w:val="20"/>
          <w:szCs w:val="20"/>
        </w:rPr>
        <w:t xml:space="preserve">USA, Canada et </w:t>
      </w:r>
      <w:r w:rsidR="005E6205" w:rsidRPr="00AC126B">
        <w:rPr>
          <w:sz w:val="20"/>
          <w:szCs w:val="20"/>
        </w:rPr>
        <w:t xml:space="preserve">en </w:t>
      </w:r>
      <w:r w:rsidR="00AD5B8C" w:rsidRPr="00AC126B">
        <w:rPr>
          <w:sz w:val="20"/>
          <w:szCs w:val="20"/>
        </w:rPr>
        <w:t>Australie</w:t>
      </w:r>
      <w:r>
        <w:rPr>
          <w:sz w:val="20"/>
          <w:szCs w:val="20"/>
        </w:rPr>
        <w:t>, après un diplôme dont le niveau de classification est de 430 points, la majoration est portée à 116 points</w:t>
      </w:r>
      <w:r w:rsidR="005A6E83" w:rsidRPr="00AC126B">
        <w:rPr>
          <w:sz w:val="20"/>
          <w:szCs w:val="20"/>
        </w:rPr>
        <w:t>.</w:t>
      </w:r>
    </w:p>
    <w:p w14:paraId="7CC95430" w14:textId="742222B5" w:rsidR="00EE7667" w:rsidRPr="00BD76E6" w:rsidRDefault="00EE7667" w:rsidP="00252A58">
      <w:pPr>
        <w:pStyle w:val="Titre2"/>
      </w:pPr>
      <w:r w:rsidRPr="00BD76E6">
        <w:t xml:space="preserve">Article 4 : Revalorisation des salaires des doctorants en formation </w:t>
      </w:r>
      <w:r w:rsidR="00843469">
        <w:t>au CEA</w:t>
      </w:r>
    </w:p>
    <w:p w14:paraId="20BE1D8D" w14:textId="24730E44" w:rsidR="00EE7667" w:rsidRPr="00115FD1" w:rsidRDefault="00EE7667" w:rsidP="00252A58">
      <w:pPr>
        <w:pStyle w:val="texte"/>
        <w:rPr>
          <w:sz w:val="20"/>
          <w:szCs w:val="20"/>
        </w:rPr>
      </w:pPr>
      <w:r w:rsidRPr="00115FD1">
        <w:rPr>
          <w:sz w:val="20"/>
          <w:szCs w:val="20"/>
        </w:rPr>
        <w:t xml:space="preserve">La rémunération des doctorants en formation </w:t>
      </w:r>
      <w:r w:rsidR="00713A9C" w:rsidRPr="00115FD1">
        <w:rPr>
          <w:sz w:val="20"/>
          <w:szCs w:val="20"/>
        </w:rPr>
        <w:t xml:space="preserve">évolue. Elle </w:t>
      </w:r>
      <w:r w:rsidRPr="00115FD1">
        <w:rPr>
          <w:sz w:val="20"/>
          <w:szCs w:val="20"/>
        </w:rPr>
        <w:t xml:space="preserve">est fixée à 2 135 € mensuelle brute </w:t>
      </w:r>
      <w:r w:rsidR="00485667" w:rsidRPr="00115FD1">
        <w:rPr>
          <w:sz w:val="20"/>
          <w:szCs w:val="20"/>
        </w:rPr>
        <w:t>durant</w:t>
      </w:r>
      <w:r w:rsidR="00843469" w:rsidRPr="00115FD1">
        <w:rPr>
          <w:sz w:val="20"/>
          <w:szCs w:val="20"/>
        </w:rPr>
        <w:t xml:space="preserve"> toute</w:t>
      </w:r>
      <w:r w:rsidRPr="00115FD1">
        <w:rPr>
          <w:sz w:val="20"/>
          <w:szCs w:val="20"/>
        </w:rPr>
        <w:t xml:space="preserve"> </w:t>
      </w:r>
      <w:r w:rsidR="00EA29F6" w:rsidRPr="00115FD1">
        <w:rPr>
          <w:sz w:val="20"/>
          <w:szCs w:val="20"/>
        </w:rPr>
        <w:t xml:space="preserve">la durée du contrat, </w:t>
      </w:r>
      <w:proofErr w:type="spellStart"/>
      <w:r w:rsidR="00843469" w:rsidRPr="00115FD1">
        <w:rPr>
          <w:sz w:val="20"/>
          <w:szCs w:val="20"/>
        </w:rPr>
        <w:t>quelque</w:t>
      </w:r>
      <w:proofErr w:type="spellEnd"/>
      <w:r w:rsidR="00843469" w:rsidRPr="00115FD1">
        <w:rPr>
          <w:sz w:val="20"/>
          <w:szCs w:val="20"/>
        </w:rPr>
        <w:t xml:space="preserve"> soit l’année de f</w:t>
      </w:r>
      <w:r w:rsidRPr="00115FD1">
        <w:rPr>
          <w:sz w:val="20"/>
          <w:szCs w:val="20"/>
        </w:rPr>
        <w:t>ormation.</w:t>
      </w:r>
    </w:p>
    <w:p w14:paraId="6163E952" w14:textId="1592B032" w:rsidR="00EE7667" w:rsidRPr="00115FD1" w:rsidRDefault="00EE7667" w:rsidP="00252A58">
      <w:pPr>
        <w:pStyle w:val="texte"/>
        <w:rPr>
          <w:sz w:val="20"/>
          <w:szCs w:val="20"/>
        </w:rPr>
      </w:pPr>
      <w:r w:rsidRPr="00115FD1">
        <w:rPr>
          <w:sz w:val="20"/>
          <w:szCs w:val="20"/>
        </w:rPr>
        <w:t>Cette mesure entre en vigueur à compter du 1</w:t>
      </w:r>
      <w:r w:rsidRPr="00115FD1">
        <w:rPr>
          <w:sz w:val="20"/>
          <w:szCs w:val="20"/>
          <w:vertAlign w:val="superscript"/>
        </w:rPr>
        <w:t>er</w:t>
      </w:r>
      <w:r w:rsidRPr="00115FD1">
        <w:rPr>
          <w:sz w:val="20"/>
          <w:szCs w:val="20"/>
        </w:rPr>
        <w:t xml:space="preserve"> octobre 2021 sans effet rétroactif.</w:t>
      </w:r>
    </w:p>
    <w:p w14:paraId="0FF5424B" w14:textId="160E3362" w:rsidR="00150D42" w:rsidRPr="00BD76E6" w:rsidRDefault="00EE7667" w:rsidP="00252A58">
      <w:pPr>
        <w:pStyle w:val="Titre2"/>
      </w:pPr>
      <w:r w:rsidRPr="00BD76E6">
        <w:t xml:space="preserve">Article 5 : </w:t>
      </w:r>
      <w:r w:rsidR="003E18B2" w:rsidRPr="00BD76E6">
        <w:t>Evolution des dispositions relatives au m</w:t>
      </w:r>
      <w:r w:rsidR="008446B5" w:rsidRPr="00BD76E6">
        <w:t xml:space="preserve">aintien de la prime de poste forfaitisée en cas de nouvelle affectation </w:t>
      </w:r>
    </w:p>
    <w:p w14:paraId="5AEFC0F9" w14:textId="70CECC9B" w:rsidR="00D528EE" w:rsidRPr="00FD15F0" w:rsidRDefault="00D528EE" w:rsidP="00252A58">
      <w:pPr>
        <w:spacing w:line="240" w:lineRule="auto"/>
        <w:jc w:val="both"/>
        <w:rPr>
          <w:rFonts w:ascii="Arial" w:hAnsi="Arial" w:cs="Arial"/>
          <w:color w:val="000000"/>
          <w:sz w:val="20"/>
          <w:szCs w:val="20"/>
        </w:rPr>
      </w:pPr>
      <w:r w:rsidRPr="00FD15F0">
        <w:rPr>
          <w:rFonts w:ascii="Arial" w:hAnsi="Arial" w:cs="Arial"/>
          <w:color w:val="000000"/>
          <w:sz w:val="20"/>
          <w:szCs w:val="20"/>
        </w:rPr>
        <w:t xml:space="preserve">La prime de poste forfaitisée dite de « biseaux » </w:t>
      </w:r>
      <w:r w:rsidR="00004AD5" w:rsidRPr="00FD15F0">
        <w:rPr>
          <w:rFonts w:ascii="Arial" w:hAnsi="Arial" w:cs="Arial"/>
          <w:color w:val="000000"/>
          <w:sz w:val="20"/>
          <w:szCs w:val="20"/>
        </w:rPr>
        <w:t>est</w:t>
      </w:r>
      <w:r w:rsidRPr="00FD15F0">
        <w:rPr>
          <w:rFonts w:ascii="Arial" w:hAnsi="Arial" w:cs="Arial"/>
          <w:color w:val="000000"/>
          <w:sz w:val="20"/>
          <w:szCs w:val="20"/>
        </w:rPr>
        <w:t xml:space="preserve"> attribuée de façon dégressive selon les modalités énumérées ci-dessous </w:t>
      </w:r>
      <w:r w:rsidR="00485667" w:rsidRPr="00FD15F0">
        <w:rPr>
          <w:rFonts w:ascii="Arial" w:hAnsi="Arial" w:cs="Arial"/>
          <w:color w:val="000000"/>
          <w:sz w:val="20"/>
          <w:szCs w:val="20"/>
        </w:rPr>
        <w:t xml:space="preserve">pendant </w:t>
      </w:r>
      <w:r w:rsidR="00926E7F" w:rsidRPr="00FD15F0">
        <w:rPr>
          <w:rFonts w:ascii="Arial" w:hAnsi="Arial" w:cs="Arial"/>
          <w:color w:val="000000"/>
          <w:sz w:val="20"/>
          <w:szCs w:val="20"/>
        </w:rPr>
        <w:t>5</w:t>
      </w:r>
      <w:r w:rsidR="00485667" w:rsidRPr="00FD15F0">
        <w:rPr>
          <w:rFonts w:ascii="Arial" w:hAnsi="Arial" w:cs="Arial"/>
          <w:color w:val="000000"/>
          <w:sz w:val="20"/>
          <w:szCs w:val="20"/>
        </w:rPr>
        <w:t xml:space="preserve"> ans </w:t>
      </w:r>
      <w:r w:rsidRPr="00FD15F0">
        <w:rPr>
          <w:rFonts w:ascii="Arial" w:hAnsi="Arial" w:cs="Arial"/>
          <w:color w:val="000000"/>
          <w:sz w:val="20"/>
          <w:szCs w:val="20"/>
        </w:rPr>
        <w:t>contre 3 an</w:t>
      </w:r>
      <w:r w:rsidR="00485667" w:rsidRPr="00FD15F0">
        <w:rPr>
          <w:rFonts w:ascii="Arial" w:hAnsi="Arial" w:cs="Arial"/>
          <w:color w:val="000000"/>
          <w:sz w:val="20"/>
          <w:szCs w:val="20"/>
        </w:rPr>
        <w:t>s</w:t>
      </w:r>
      <w:r w:rsidRPr="00FD15F0">
        <w:rPr>
          <w:rFonts w:ascii="Arial" w:hAnsi="Arial" w:cs="Arial"/>
          <w:color w:val="000000"/>
          <w:sz w:val="20"/>
          <w:szCs w:val="20"/>
        </w:rPr>
        <w:t xml:space="preserve">, </w:t>
      </w:r>
      <w:r w:rsidR="00004AD5" w:rsidRPr="00FD15F0">
        <w:rPr>
          <w:rFonts w:ascii="Arial" w:hAnsi="Arial" w:cs="Arial"/>
          <w:color w:val="000000"/>
          <w:sz w:val="20"/>
          <w:szCs w:val="20"/>
        </w:rPr>
        <w:t xml:space="preserve">avant signature </w:t>
      </w:r>
      <w:r w:rsidRPr="00FD15F0">
        <w:rPr>
          <w:rFonts w:ascii="Arial" w:hAnsi="Arial" w:cs="Arial"/>
          <w:color w:val="000000"/>
          <w:sz w:val="20"/>
          <w:szCs w:val="20"/>
        </w:rPr>
        <w:t>du présent accord.</w:t>
      </w:r>
    </w:p>
    <w:p w14:paraId="13ACEC29" w14:textId="1E1DB155" w:rsidR="00F10EAE" w:rsidRPr="00FD15F0" w:rsidRDefault="003E18B2" w:rsidP="00252A58">
      <w:pPr>
        <w:spacing w:line="240" w:lineRule="auto"/>
        <w:jc w:val="both"/>
        <w:rPr>
          <w:rFonts w:ascii="Arial" w:hAnsi="Arial" w:cs="Arial"/>
          <w:color w:val="000000"/>
          <w:sz w:val="20"/>
          <w:szCs w:val="20"/>
        </w:rPr>
      </w:pPr>
      <w:r w:rsidRPr="00FD15F0">
        <w:rPr>
          <w:rFonts w:ascii="Arial" w:hAnsi="Arial" w:cs="Arial"/>
          <w:color w:val="000000"/>
          <w:sz w:val="20"/>
          <w:szCs w:val="20"/>
        </w:rPr>
        <w:t>Pour les salariés à venir</w:t>
      </w:r>
      <w:r w:rsidR="00EE7667" w:rsidRPr="00FD15F0">
        <w:rPr>
          <w:rFonts w:ascii="Arial" w:hAnsi="Arial" w:cs="Arial"/>
          <w:color w:val="000000"/>
          <w:sz w:val="20"/>
          <w:szCs w:val="20"/>
        </w:rPr>
        <w:t xml:space="preserve">, qui sont </w:t>
      </w:r>
      <w:r w:rsidR="00F10EAE" w:rsidRPr="00FD15F0">
        <w:rPr>
          <w:rFonts w:ascii="Arial" w:hAnsi="Arial" w:cs="Arial"/>
          <w:color w:val="000000"/>
          <w:sz w:val="20"/>
          <w:szCs w:val="20"/>
        </w:rPr>
        <w:t>affectés à un poste en horaire normal après 15 années de service continu ou semi-continu ou après l’âge de 50 ans et 10 ans de service continu ou semi-continu, bénéficie</w:t>
      </w:r>
      <w:r w:rsidR="00EE7667" w:rsidRPr="00FD15F0">
        <w:rPr>
          <w:rFonts w:ascii="Arial" w:hAnsi="Arial" w:cs="Arial"/>
          <w:color w:val="000000"/>
          <w:sz w:val="20"/>
          <w:szCs w:val="20"/>
        </w:rPr>
        <w:t>ront</w:t>
      </w:r>
      <w:r w:rsidR="00F10EAE" w:rsidRPr="00FD15F0">
        <w:rPr>
          <w:rFonts w:ascii="Arial" w:hAnsi="Arial" w:cs="Arial"/>
          <w:color w:val="000000"/>
          <w:sz w:val="20"/>
          <w:szCs w:val="20"/>
        </w:rPr>
        <w:t xml:space="preserve"> du maintien de la prime de poste forfaitisée antérieurement versée, de manière dégressive, </w:t>
      </w:r>
      <w:r w:rsidR="00547A4B" w:rsidRPr="00FD15F0">
        <w:rPr>
          <w:rFonts w:ascii="Arial" w:hAnsi="Arial" w:cs="Arial"/>
          <w:color w:val="000000"/>
          <w:sz w:val="20"/>
          <w:szCs w:val="20"/>
        </w:rPr>
        <w:t xml:space="preserve">et ce pendant 5 ans, </w:t>
      </w:r>
      <w:r w:rsidR="00F10EAE" w:rsidRPr="00FD15F0">
        <w:rPr>
          <w:rFonts w:ascii="Arial" w:hAnsi="Arial" w:cs="Arial"/>
          <w:color w:val="000000"/>
          <w:sz w:val="20"/>
          <w:szCs w:val="20"/>
        </w:rPr>
        <w:t>à raison de</w:t>
      </w:r>
      <w:r w:rsidR="00547A4B" w:rsidRPr="00FD15F0">
        <w:rPr>
          <w:rFonts w:ascii="Arial" w:hAnsi="Arial" w:cs="Arial"/>
          <w:color w:val="000000"/>
          <w:sz w:val="20"/>
          <w:szCs w:val="20"/>
        </w:rPr>
        <w:t xml:space="preserve"> : </w:t>
      </w:r>
      <w:r w:rsidR="00F10EAE" w:rsidRPr="00FD15F0">
        <w:rPr>
          <w:rFonts w:ascii="Arial" w:hAnsi="Arial" w:cs="Arial"/>
          <w:color w:val="000000"/>
          <w:sz w:val="20"/>
          <w:szCs w:val="20"/>
        </w:rPr>
        <w:t>100% la 1ère année,</w:t>
      </w:r>
      <w:r w:rsidR="00EE7667" w:rsidRPr="00FD15F0">
        <w:rPr>
          <w:rFonts w:ascii="Arial" w:hAnsi="Arial" w:cs="Arial"/>
          <w:color w:val="000000"/>
          <w:sz w:val="20"/>
          <w:szCs w:val="20"/>
        </w:rPr>
        <w:t xml:space="preserve"> </w:t>
      </w:r>
      <w:r w:rsidR="00F10EAE" w:rsidRPr="00FD15F0">
        <w:rPr>
          <w:rFonts w:ascii="Arial" w:hAnsi="Arial" w:cs="Arial"/>
          <w:color w:val="000000"/>
          <w:sz w:val="20"/>
          <w:szCs w:val="20"/>
        </w:rPr>
        <w:t>80% la 2</w:t>
      </w:r>
      <w:r w:rsidR="00740D11" w:rsidRPr="00740D11">
        <w:rPr>
          <w:rFonts w:ascii="Arial" w:hAnsi="Arial" w:cs="Arial"/>
          <w:color w:val="000000"/>
          <w:sz w:val="20"/>
          <w:szCs w:val="20"/>
          <w:vertAlign w:val="superscript"/>
        </w:rPr>
        <w:t>ème</w:t>
      </w:r>
      <w:r w:rsidR="00F10EAE" w:rsidRPr="00FD15F0">
        <w:rPr>
          <w:rFonts w:ascii="Arial" w:hAnsi="Arial" w:cs="Arial"/>
          <w:color w:val="000000"/>
          <w:sz w:val="20"/>
          <w:szCs w:val="20"/>
        </w:rPr>
        <w:t>, 60% la 3ème, 40% la 4ème et 20% la 5ème année.</w:t>
      </w:r>
    </w:p>
    <w:p w14:paraId="07DBE594" w14:textId="2A876E9B" w:rsidR="00EE7667" w:rsidRPr="00FD15F0" w:rsidRDefault="00EE7667" w:rsidP="00252A58">
      <w:pPr>
        <w:spacing w:line="240" w:lineRule="auto"/>
        <w:jc w:val="both"/>
        <w:rPr>
          <w:rFonts w:ascii="Arial" w:hAnsi="Arial" w:cs="Arial"/>
          <w:color w:val="000000"/>
          <w:sz w:val="20"/>
          <w:szCs w:val="20"/>
        </w:rPr>
      </w:pPr>
      <w:r w:rsidRPr="00FD15F0">
        <w:rPr>
          <w:rFonts w:ascii="Arial" w:hAnsi="Arial" w:cs="Arial"/>
          <w:color w:val="000000"/>
          <w:sz w:val="20"/>
          <w:szCs w:val="20"/>
        </w:rPr>
        <w:t xml:space="preserve">Cette mesure </w:t>
      </w:r>
      <w:r w:rsidR="00D6485F" w:rsidRPr="00FD15F0">
        <w:rPr>
          <w:rFonts w:ascii="Arial" w:hAnsi="Arial" w:cs="Arial"/>
          <w:color w:val="000000"/>
          <w:sz w:val="20"/>
          <w:szCs w:val="20"/>
        </w:rPr>
        <w:t>est</w:t>
      </w:r>
      <w:r w:rsidRPr="00FD15F0">
        <w:rPr>
          <w:rFonts w:ascii="Arial" w:hAnsi="Arial" w:cs="Arial"/>
          <w:color w:val="000000"/>
          <w:sz w:val="20"/>
          <w:szCs w:val="20"/>
        </w:rPr>
        <w:t xml:space="preserve"> mise en œuvre pour tou</w:t>
      </w:r>
      <w:r w:rsidR="00636A56" w:rsidRPr="00FD15F0">
        <w:rPr>
          <w:rFonts w:ascii="Arial" w:hAnsi="Arial" w:cs="Arial"/>
          <w:color w:val="000000"/>
          <w:sz w:val="20"/>
          <w:szCs w:val="20"/>
        </w:rPr>
        <w:t>t salarié</w:t>
      </w:r>
      <w:r w:rsidRPr="00FD15F0">
        <w:rPr>
          <w:rFonts w:ascii="Arial" w:hAnsi="Arial" w:cs="Arial"/>
          <w:color w:val="000000"/>
          <w:sz w:val="20"/>
          <w:szCs w:val="20"/>
        </w:rPr>
        <w:t xml:space="preserve"> concerné à compter de la signature du présent accord.</w:t>
      </w:r>
    </w:p>
    <w:p w14:paraId="13595DF4" w14:textId="485A3BC6" w:rsidR="003E18B2" w:rsidRPr="00FD15F0" w:rsidRDefault="003E18B2" w:rsidP="00252A58">
      <w:pPr>
        <w:spacing w:line="240" w:lineRule="auto"/>
        <w:jc w:val="both"/>
        <w:rPr>
          <w:rFonts w:ascii="Arial" w:hAnsi="Arial" w:cs="Arial"/>
          <w:color w:val="000000"/>
          <w:sz w:val="20"/>
          <w:szCs w:val="20"/>
        </w:rPr>
      </w:pPr>
      <w:r w:rsidRPr="00FD15F0">
        <w:rPr>
          <w:rFonts w:ascii="Arial" w:hAnsi="Arial" w:cs="Arial"/>
          <w:color w:val="000000"/>
          <w:sz w:val="20"/>
          <w:szCs w:val="20"/>
        </w:rPr>
        <w:t xml:space="preserve">Pour les salariés en place, </w:t>
      </w:r>
      <w:r w:rsidR="00EE7667" w:rsidRPr="00FD15F0">
        <w:rPr>
          <w:rFonts w:ascii="Arial" w:hAnsi="Arial" w:cs="Arial"/>
          <w:color w:val="000000"/>
          <w:sz w:val="20"/>
          <w:szCs w:val="20"/>
        </w:rPr>
        <w:t>qui bénéficie à ce jour de la prime forfaitisée, elle reste calculée selon les modalités en vigueur à date, soit sur 3 ans, à raison de 75%, la 1</w:t>
      </w:r>
      <w:r w:rsidR="00EE7667" w:rsidRPr="00FD15F0">
        <w:rPr>
          <w:rFonts w:ascii="Arial" w:hAnsi="Arial" w:cs="Arial"/>
          <w:color w:val="000000"/>
          <w:sz w:val="20"/>
          <w:szCs w:val="20"/>
          <w:vertAlign w:val="superscript"/>
        </w:rPr>
        <w:t>ère</w:t>
      </w:r>
      <w:r w:rsidR="00EE7667" w:rsidRPr="00FD15F0">
        <w:rPr>
          <w:rFonts w:ascii="Arial" w:hAnsi="Arial" w:cs="Arial"/>
          <w:color w:val="000000"/>
          <w:sz w:val="20"/>
          <w:szCs w:val="20"/>
        </w:rPr>
        <w:t xml:space="preserve"> année, 50% la 2</w:t>
      </w:r>
      <w:r w:rsidR="00EE7667" w:rsidRPr="00FD15F0">
        <w:rPr>
          <w:rFonts w:ascii="Arial" w:hAnsi="Arial" w:cs="Arial"/>
          <w:color w:val="000000"/>
          <w:sz w:val="20"/>
          <w:szCs w:val="20"/>
          <w:vertAlign w:val="superscript"/>
        </w:rPr>
        <w:t>ème</w:t>
      </w:r>
      <w:r w:rsidR="00EE7667" w:rsidRPr="00FD15F0">
        <w:rPr>
          <w:rFonts w:ascii="Arial" w:hAnsi="Arial" w:cs="Arial"/>
          <w:color w:val="000000"/>
          <w:sz w:val="20"/>
          <w:szCs w:val="20"/>
        </w:rPr>
        <w:t xml:space="preserve"> et 25% la 3</w:t>
      </w:r>
      <w:r w:rsidR="00EE7667" w:rsidRPr="00FD15F0">
        <w:rPr>
          <w:rFonts w:ascii="Arial" w:hAnsi="Arial" w:cs="Arial"/>
          <w:color w:val="000000"/>
          <w:sz w:val="20"/>
          <w:szCs w:val="20"/>
          <w:vertAlign w:val="superscript"/>
        </w:rPr>
        <w:t>ème</w:t>
      </w:r>
      <w:r w:rsidR="00EE7667" w:rsidRPr="00FD15F0">
        <w:rPr>
          <w:rFonts w:ascii="Arial" w:hAnsi="Arial" w:cs="Arial"/>
          <w:color w:val="000000"/>
          <w:sz w:val="20"/>
          <w:szCs w:val="20"/>
        </w:rPr>
        <w:t xml:space="preserve"> année. </w:t>
      </w:r>
    </w:p>
    <w:p w14:paraId="2F205E75" w14:textId="16F4338A" w:rsidR="00483923" w:rsidRPr="00BD76E6" w:rsidRDefault="001D1D8D" w:rsidP="00252A58">
      <w:pPr>
        <w:pStyle w:val="Titre2"/>
      </w:pPr>
      <w:r w:rsidRPr="00BD76E6">
        <w:t xml:space="preserve">Article </w:t>
      </w:r>
      <w:r w:rsidR="00D528EE" w:rsidRPr="00BD76E6">
        <w:t>6</w:t>
      </w:r>
      <w:r w:rsidR="00F10EAE" w:rsidRPr="00BD76E6">
        <w:t xml:space="preserve"> :</w:t>
      </w:r>
      <w:r w:rsidRPr="00BD76E6">
        <w:t xml:space="preserve"> </w:t>
      </w:r>
      <w:r w:rsidR="00CF2CAC" w:rsidRPr="00BD76E6">
        <w:t>Evolution de la p</w:t>
      </w:r>
      <w:r w:rsidR="00483923" w:rsidRPr="00BD76E6">
        <w:t xml:space="preserve">rime d’ancienneté </w:t>
      </w:r>
    </w:p>
    <w:p w14:paraId="1201307B" w14:textId="1F0E5F1E" w:rsidR="00D528EE" w:rsidRPr="00115FD1" w:rsidRDefault="00D528EE" w:rsidP="00252A58">
      <w:pPr>
        <w:spacing w:line="240" w:lineRule="auto"/>
        <w:jc w:val="both"/>
        <w:rPr>
          <w:rFonts w:ascii="Arial" w:hAnsi="Arial" w:cs="Arial"/>
          <w:color w:val="000000"/>
          <w:sz w:val="20"/>
          <w:szCs w:val="20"/>
        </w:rPr>
      </w:pPr>
      <w:r w:rsidRPr="00115FD1">
        <w:rPr>
          <w:rFonts w:ascii="Arial" w:hAnsi="Arial" w:cs="Arial"/>
          <w:color w:val="000000"/>
          <w:sz w:val="20"/>
          <w:szCs w:val="20"/>
        </w:rPr>
        <w:t xml:space="preserve">La prime d’ancienneté </w:t>
      </w:r>
      <w:r w:rsidR="00004AD5" w:rsidRPr="00115FD1">
        <w:rPr>
          <w:rFonts w:ascii="Arial" w:hAnsi="Arial" w:cs="Arial"/>
          <w:color w:val="000000"/>
          <w:sz w:val="20"/>
          <w:szCs w:val="20"/>
        </w:rPr>
        <w:t>est</w:t>
      </w:r>
      <w:r w:rsidRPr="00115FD1">
        <w:rPr>
          <w:rFonts w:ascii="Arial" w:hAnsi="Arial" w:cs="Arial"/>
          <w:color w:val="000000"/>
          <w:sz w:val="20"/>
          <w:szCs w:val="20"/>
        </w:rPr>
        <w:t xml:space="preserve"> attribuée </w:t>
      </w:r>
      <w:r w:rsidR="00485667" w:rsidRPr="00115FD1">
        <w:rPr>
          <w:rFonts w:ascii="Arial" w:hAnsi="Arial" w:cs="Arial"/>
          <w:color w:val="000000"/>
          <w:sz w:val="20"/>
          <w:szCs w:val="20"/>
        </w:rPr>
        <w:t>après</w:t>
      </w:r>
      <w:r w:rsidRPr="00115FD1">
        <w:rPr>
          <w:rFonts w:ascii="Arial" w:hAnsi="Arial" w:cs="Arial"/>
          <w:color w:val="000000"/>
          <w:sz w:val="20"/>
          <w:szCs w:val="20"/>
        </w:rPr>
        <w:t xml:space="preserve"> 1 an de présence effective contre 3 ans de présence effective, </w:t>
      </w:r>
      <w:r w:rsidR="00004AD5" w:rsidRPr="00115FD1">
        <w:rPr>
          <w:rFonts w:ascii="Arial" w:hAnsi="Arial" w:cs="Arial"/>
          <w:color w:val="000000"/>
          <w:sz w:val="20"/>
          <w:szCs w:val="20"/>
        </w:rPr>
        <w:t xml:space="preserve">avant signature </w:t>
      </w:r>
      <w:r w:rsidRPr="00115FD1">
        <w:rPr>
          <w:rFonts w:ascii="Arial" w:hAnsi="Arial" w:cs="Arial"/>
          <w:color w:val="000000"/>
          <w:sz w:val="20"/>
          <w:szCs w:val="20"/>
        </w:rPr>
        <w:t>du présent accord.</w:t>
      </w:r>
      <w:bookmarkStart w:id="2" w:name="_GoBack"/>
      <w:bookmarkEnd w:id="2"/>
    </w:p>
    <w:p w14:paraId="0B87C250" w14:textId="1338A85A" w:rsidR="00483923" w:rsidRPr="00115FD1" w:rsidRDefault="00483923" w:rsidP="00252A58">
      <w:pPr>
        <w:spacing w:line="240" w:lineRule="auto"/>
        <w:jc w:val="both"/>
        <w:rPr>
          <w:rFonts w:ascii="Arial" w:hAnsi="Arial" w:cs="Arial"/>
          <w:color w:val="000000"/>
          <w:sz w:val="20"/>
          <w:szCs w:val="20"/>
        </w:rPr>
      </w:pPr>
      <w:r w:rsidRPr="00115FD1">
        <w:rPr>
          <w:rFonts w:ascii="Arial" w:hAnsi="Arial" w:cs="Arial"/>
          <w:color w:val="000000"/>
          <w:sz w:val="20"/>
          <w:szCs w:val="20"/>
        </w:rPr>
        <w:lastRenderedPageBreak/>
        <w:t xml:space="preserve">A la fin de la première année de présence effective au CEA, </w:t>
      </w:r>
      <w:r w:rsidR="00004AD5" w:rsidRPr="00115FD1">
        <w:rPr>
          <w:rFonts w:ascii="Arial" w:hAnsi="Arial" w:cs="Arial"/>
          <w:color w:val="000000"/>
          <w:sz w:val="20"/>
          <w:szCs w:val="20"/>
        </w:rPr>
        <w:t>une prime d’ancienneté est versée aux salariés rel</w:t>
      </w:r>
      <w:r w:rsidR="00D43E76" w:rsidRPr="00115FD1">
        <w:rPr>
          <w:rFonts w:ascii="Arial" w:hAnsi="Arial" w:cs="Arial"/>
          <w:color w:val="000000"/>
          <w:sz w:val="20"/>
          <w:szCs w:val="20"/>
        </w:rPr>
        <w:t>e</w:t>
      </w:r>
      <w:r w:rsidR="00004AD5" w:rsidRPr="00115FD1">
        <w:rPr>
          <w:rFonts w:ascii="Arial" w:hAnsi="Arial" w:cs="Arial"/>
          <w:color w:val="000000"/>
          <w:sz w:val="20"/>
          <w:szCs w:val="20"/>
        </w:rPr>
        <w:t>vant de l’</w:t>
      </w:r>
      <w:r w:rsidR="00BD1F85" w:rsidRPr="00115FD1">
        <w:rPr>
          <w:rFonts w:ascii="Arial" w:hAnsi="Arial" w:cs="Arial"/>
          <w:color w:val="000000"/>
          <w:sz w:val="20"/>
          <w:szCs w:val="20"/>
        </w:rPr>
        <w:t>annexe</w:t>
      </w:r>
      <w:r w:rsidR="00CC746D" w:rsidRPr="00115FD1">
        <w:rPr>
          <w:rFonts w:ascii="Arial" w:hAnsi="Arial" w:cs="Arial"/>
          <w:color w:val="000000"/>
          <w:sz w:val="20"/>
          <w:szCs w:val="20"/>
        </w:rPr>
        <w:t xml:space="preserve"> 2 à raison de 1</w:t>
      </w:r>
      <w:r w:rsidR="00004AD5" w:rsidRPr="00115FD1">
        <w:rPr>
          <w:rFonts w:ascii="Arial" w:hAnsi="Arial" w:cs="Arial"/>
          <w:color w:val="000000"/>
          <w:sz w:val="20"/>
          <w:szCs w:val="20"/>
        </w:rPr>
        <w:t xml:space="preserve">% au titre de la première année, puis </w:t>
      </w:r>
      <w:r w:rsidR="00D43E76" w:rsidRPr="00115FD1">
        <w:rPr>
          <w:rFonts w:ascii="Arial" w:hAnsi="Arial" w:cs="Arial"/>
          <w:color w:val="000000"/>
          <w:sz w:val="20"/>
          <w:szCs w:val="20"/>
        </w:rPr>
        <w:t xml:space="preserve">de </w:t>
      </w:r>
      <w:r w:rsidR="00CC746D" w:rsidRPr="00115FD1">
        <w:rPr>
          <w:rFonts w:ascii="Arial" w:hAnsi="Arial" w:cs="Arial"/>
          <w:color w:val="000000"/>
          <w:sz w:val="20"/>
          <w:szCs w:val="20"/>
        </w:rPr>
        <w:t>1</w:t>
      </w:r>
      <w:r w:rsidRPr="00115FD1">
        <w:rPr>
          <w:rFonts w:ascii="Arial" w:hAnsi="Arial" w:cs="Arial"/>
          <w:color w:val="000000"/>
          <w:sz w:val="20"/>
          <w:szCs w:val="20"/>
        </w:rPr>
        <w:t>% à la fin de chaque année supplé</w:t>
      </w:r>
      <w:r w:rsidR="00CC746D" w:rsidRPr="00115FD1">
        <w:rPr>
          <w:rFonts w:ascii="Arial" w:hAnsi="Arial" w:cs="Arial"/>
          <w:color w:val="000000"/>
          <w:sz w:val="20"/>
          <w:szCs w:val="20"/>
        </w:rPr>
        <w:t>mentaire, avec plafond de 21</w:t>
      </w:r>
      <w:r w:rsidR="00004AD5" w:rsidRPr="00115FD1">
        <w:rPr>
          <w:rFonts w:ascii="Arial" w:hAnsi="Arial" w:cs="Arial"/>
          <w:color w:val="000000"/>
          <w:sz w:val="20"/>
          <w:szCs w:val="20"/>
        </w:rPr>
        <w:t>%.</w:t>
      </w:r>
    </w:p>
    <w:p w14:paraId="062587E3" w14:textId="5A7D5381" w:rsidR="00A0269F" w:rsidRPr="00115FD1" w:rsidRDefault="00A0269F" w:rsidP="00252A58">
      <w:pPr>
        <w:spacing w:line="240" w:lineRule="auto"/>
        <w:jc w:val="both"/>
        <w:rPr>
          <w:rFonts w:ascii="Arial" w:hAnsi="Arial" w:cs="Arial"/>
          <w:color w:val="000000"/>
          <w:sz w:val="20"/>
          <w:szCs w:val="20"/>
        </w:rPr>
      </w:pPr>
      <w:r w:rsidRPr="00115FD1">
        <w:rPr>
          <w:rFonts w:ascii="Arial" w:hAnsi="Arial" w:cs="Arial"/>
          <w:color w:val="000000"/>
          <w:sz w:val="20"/>
          <w:szCs w:val="20"/>
        </w:rPr>
        <w:t xml:space="preserve">Cette mesure </w:t>
      </w:r>
      <w:r w:rsidR="00D6485F" w:rsidRPr="00115FD1">
        <w:rPr>
          <w:rFonts w:ascii="Arial" w:hAnsi="Arial" w:cs="Arial"/>
          <w:color w:val="000000"/>
          <w:sz w:val="20"/>
          <w:szCs w:val="20"/>
        </w:rPr>
        <w:t>est</w:t>
      </w:r>
      <w:r w:rsidRPr="00115FD1">
        <w:rPr>
          <w:rFonts w:ascii="Arial" w:hAnsi="Arial" w:cs="Arial"/>
          <w:color w:val="000000"/>
          <w:sz w:val="20"/>
          <w:szCs w:val="20"/>
        </w:rPr>
        <w:t xml:space="preserve"> applicable à compter du 1</w:t>
      </w:r>
      <w:r w:rsidRPr="00115FD1">
        <w:rPr>
          <w:rFonts w:ascii="Arial" w:hAnsi="Arial" w:cs="Arial"/>
          <w:color w:val="000000"/>
          <w:sz w:val="20"/>
          <w:szCs w:val="20"/>
          <w:vertAlign w:val="superscript"/>
        </w:rPr>
        <w:t>er</w:t>
      </w:r>
      <w:r w:rsidRPr="00115FD1">
        <w:rPr>
          <w:rFonts w:ascii="Arial" w:hAnsi="Arial" w:cs="Arial"/>
          <w:color w:val="000000"/>
          <w:sz w:val="20"/>
          <w:szCs w:val="20"/>
        </w:rPr>
        <w:t xml:space="preserve"> octobre 2021 pour tou</w:t>
      </w:r>
      <w:r w:rsidR="00636A56" w:rsidRPr="00115FD1">
        <w:rPr>
          <w:rFonts w:ascii="Arial" w:hAnsi="Arial" w:cs="Arial"/>
          <w:color w:val="000000"/>
          <w:sz w:val="20"/>
          <w:szCs w:val="20"/>
        </w:rPr>
        <w:t>t</w:t>
      </w:r>
      <w:r w:rsidRPr="00115FD1">
        <w:rPr>
          <w:rFonts w:ascii="Arial" w:hAnsi="Arial" w:cs="Arial"/>
          <w:color w:val="000000"/>
          <w:sz w:val="20"/>
          <w:szCs w:val="20"/>
        </w:rPr>
        <w:t xml:space="preserve"> salarié</w:t>
      </w:r>
      <w:r w:rsidR="00636A56" w:rsidRPr="00115FD1">
        <w:rPr>
          <w:rFonts w:ascii="Arial" w:hAnsi="Arial" w:cs="Arial"/>
          <w:color w:val="000000"/>
          <w:sz w:val="20"/>
          <w:szCs w:val="20"/>
        </w:rPr>
        <w:t xml:space="preserve"> relevant</w:t>
      </w:r>
      <w:r w:rsidRPr="00115FD1">
        <w:rPr>
          <w:rFonts w:ascii="Arial" w:hAnsi="Arial" w:cs="Arial"/>
          <w:color w:val="000000"/>
          <w:sz w:val="20"/>
          <w:szCs w:val="20"/>
        </w:rPr>
        <w:t xml:space="preserve"> de l’annexe 2 ayant entre 1 à 3 </w:t>
      </w:r>
      <w:r w:rsidR="005F2ED8" w:rsidRPr="00115FD1">
        <w:rPr>
          <w:rFonts w:ascii="Arial" w:hAnsi="Arial" w:cs="Arial"/>
          <w:color w:val="000000"/>
          <w:sz w:val="20"/>
          <w:szCs w:val="20"/>
        </w:rPr>
        <w:t>an</w:t>
      </w:r>
      <w:r w:rsidR="00485667" w:rsidRPr="00115FD1">
        <w:rPr>
          <w:rFonts w:ascii="Arial" w:hAnsi="Arial" w:cs="Arial"/>
          <w:color w:val="000000"/>
          <w:sz w:val="20"/>
          <w:szCs w:val="20"/>
        </w:rPr>
        <w:t>s</w:t>
      </w:r>
      <w:r w:rsidRPr="00115FD1">
        <w:rPr>
          <w:rFonts w:ascii="Arial" w:hAnsi="Arial" w:cs="Arial"/>
          <w:color w:val="000000"/>
          <w:sz w:val="20"/>
          <w:szCs w:val="20"/>
        </w:rPr>
        <w:t xml:space="preserve"> d’ancienneté effective au CEA.  </w:t>
      </w:r>
    </w:p>
    <w:p w14:paraId="62FFA058" w14:textId="31BB1754" w:rsidR="00A0269F" w:rsidRPr="00115FD1" w:rsidRDefault="00A0269F" w:rsidP="00252A58">
      <w:pPr>
        <w:spacing w:line="240" w:lineRule="auto"/>
        <w:jc w:val="both"/>
        <w:rPr>
          <w:rFonts w:ascii="Arial" w:hAnsi="Arial" w:cs="Arial"/>
          <w:color w:val="000000"/>
          <w:sz w:val="20"/>
          <w:szCs w:val="20"/>
        </w:rPr>
      </w:pPr>
      <w:r w:rsidRPr="00115FD1">
        <w:rPr>
          <w:rFonts w:ascii="Arial" w:hAnsi="Arial" w:cs="Arial"/>
          <w:color w:val="000000"/>
          <w:sz w:val="20"/>
          <w:szCs w:val="20"/>
        </w:rPr>
        <w:t>Cette prime est annexée sur l</w:t>
      </w:r>
      <w:r w:rsidR="008B4FF6" w:rsidRPr="00115FD1">
        <w:rPr>
          <w:rFonts w:ascii="Arial" w:hAnsi="Arial" w:cs="Arial"/>
          <w:color w:val="000000"/>
          <w:sz w:val="20"/>
          <w:szCs w:val="20"/>
        </w:rPr>
        <w:t>a base du coefficient d’entrée multipliée par la</w:t>
      </w:r>
      <w:r w:rsidRPr="00115FD1">
        <w:rPr>
          <w:rFonts w:ascii="Arial" w:hAnsi="Arial" w:cs="Arial"/>
          <w:color w:val="000000"/>
          <w:sz w:val="20"/>
          <w:szCs w:val="20"/>
        </w:rPr>
        <w:t xml:space="preserve"> valeur de point en vigueur.</w:t>
      </w:r>
    </w:p>
    <w:p w14:paraId="560E7FAD" w14:textId="768CF429" w:rsidR="00084496" w:rsidRPr="00BD76E6" w:rsidRDefault="00D528EE" w:rsidP="00252A58">
      <w:pPr>
        <w:pStyle w:val="Titre2"/>
      </w:pPr>
      <w:r w:rsidRPr="00BD76E6">
        <w:t>Article 7 : Durée et date d’effet de l’accord</w:t>
      </w:r>
      <w:r w:rsidR="00D83275" w:rsidRPr="00BD76E6">
        <w:t>, révision et dénonciation de</w:t>
      </w:r>
      <w:r w:rsidR="00F627C7" w:rsidRPr="00BD76E6">
        <w:t xml:space="preserve"> l’accord</w:t>
      </w:r>
    </w:p>
    <w:p w14:paraId="6C373A89" w14:textId="08798CBD" w:rsidR="00D528EE" w:rsidRPr="00115FD1" w:rsidRDefault="00D528EE" w:rsidP="00252A58">
      <w:pPr>
        <w:pStyle w:val="texte"/>
        <w:rPr>
          <w:sz w:val="20"/>
          <w:szCs w:val="20"/>
        </w:rPr>
      </w:pPr>
      <w:r w:rsidRPr="00115FD1">
        <w:rPr>
          <w:sz w:val="20"/>
          <w:szCs w:val="20"/>
        </w:rPr>
        <w:t>Le présent accord est conclu pour une durée indéterminée. Il entrera en vigueur à compter de sa signature.</w:t>
      </w:r>
    </w:p>
    <w:p w14:paraId="0FC266AB" w14:textId="06EF3C02" w:rsidR="00D83275" w:rsidRPr="00115FD1" w:rsidRDefault="00D83275" w:rsidP="00252A58">
      <w:pPr>
        <w:spacing w:line="240" w:lineRule="auto"/>
        <w:jc w:val="both"/>
        <w:rPr>
          <w:rFonts w:ascii="Arial" w:eastAsia="Times New Roman" w:hAnsi="Arial" w:cs="Arial"/>
          <w:b/>
          <w:i/>
          <w:smallCaps/>
          <w:snapToGrid w:val="0"/>
          <w:sz w:val="20"/>
          <w:szCs w:val="20"/>
          <w:lang w:eastAsia="fr-FR"/>
        </w:rPr>
      </w:pPr>
      <w:r w:rsidRPr="00115FD1">
        <w:rPr>
          <w:rFonts w:ascii="Arial" w:hAnsi="Arial" w:cs="Arial"/>
          <w:sz w:val="20"/>
          <w:szCs w:val="20"/>
          <w:shd w:val="clear" w:color="auto" w:fill="FFFFFF"/>
        </w:rPr>
        <w:t xml:space="preserve">Le présent accord pourra faire l’objet d’une révision ou d’une dénonciation conformément aux dispositions légales. </w:t>
      </w:r>
    </w:p>
    <w:p w14:paraId="3988E073" w14:textId="2ED765EB" w:rsidR="00235147" w:rsidRPr="00BD76E6" w:rsidRDefault="00F627C7" w:rsidP="00252A58">
      <w:pPr>
        <w:pStyle w:val="Titre2"/>
      </w:pPr>
      <w:bookmarkStart w:id="3" w:name="_Toc528227775"/>
      <w:bookmarkStart w:id="4" w:name="_Toc5964433"/>
      <w:r w:rsidRPr="00BD76E6">
        <w:t xml:space="preserve"> </w:t>
      </w:r>
      <w:r w:rsidR="00D528EE" w:rsidRPr="00BD76E6">
        <w:t>Article 8</w:t>
      </w:r>
      <w:r w:rsidR="00587E0B" w:rsidRPr="00BD76E6">
        <w:t xml:space="preserve"> : </w:t>
      </w:r>
      <w:r w:rsidR="00235147" w:rsidRPr="00BD76E6">
        <w:t>Formalités de dépôt et publicité</w:t>
      </w:r>
      <w:bookmarkEnd w:id="3"/>
      <w:bookmarkEnd w:id="4"/>
    </w:p>
    <w:p w14:paraId="531777B7" w14:textId="5C1E00D5" w:rsidR="00235147" w:rsidRPr="00115FD1" w:rsidRDefault="00235147" w:rsidP="00252A58">
      <w:pPr>
        <w:spacing w:line="240" w:lineRule="auto"/>
        <w:jc w:val="both"/>
        <w:rPr>
          <w:rFonts w:ascii="Arial" w:hAnsi="Arial" w:cs="Arial"/>
          <w:sz w:val="20"/>
          <w:szCs w:val="20"/>
          <w:shd w:val="clear" w:color="auto" w:fill="FFFFFF"/>
        </w:rPr>
      </w:pPr>
      <w:r w:rsidRPr="00115FD1">
        <w:rPr>
          <w:rFonts w:ascii="Arial" w:hAnsi="Arial" w:cs="Arial"/>
          <w:sz w:val="20"/>
          <w:szCs w:val="20"/>
          <w:shd w:val="clear" w:color="auto" w:fill="FFFFFF"/>
        </w:rPr>
        <w:t xml:space="preserve">Le présent </w:t>
      </w:r>
      <w:r w:rsidR="00F10EAE" w:rsidRPr="00115FD1">
        <w:rPr>
          <w:rFonts w:ascii="Arial" w:hAnsi="Arial" w:cs="Arial"/>
          <w:sz w:val="20"/>
          <w:szCs w:val="20"/>
          <w:shd w:val="clear" w:color="auto" w:fill="FFFFFF"/>
        </w:rPr>
        <w:t>accord</w:t>
      </w:r>
      <w:r w:rsidR="00587E0B" w:rsidRPr="00115FD1">
        <w:rPr>
          <w:rFonts w:ascii="Arial" w:hAnsi="Arial" w:cs="Arial"/>
          <w:sz w:val="20"/>
          <w:szCs w:val="20"/>
          <w:shd w:val="clear" w:color="auto" w:fill="FFFFFF"/>
        </w:rPr>
        <w:t xml:space="preserve"> </w:t>
      </w:r>
      <w:r w:rsidRPr="00115FD1">
        <w:rPr>
          <w:rFonts w:ascii="Arial" w:hAnsi="Arial" w:cs="Arial"/>
          <w:sz w:val="20"/>
          <w:szCs w:val="20"/>
          <w:shd w:val="clear" w:color="auto" w:fill="FFFFFF"/>
        </w:rPr>
        <w:t>est déposé en deux exemplaires, une version sur support numérique</w:t>
      </w:r>
      <w:r w:rsidR="000B3051" w:rsidRPr="00115FD1">
        <w:rPr>
          <w:rFonts w:ascii="Arial" w:hAnsi="Arial" w:cs="Arial"/>
          <w:sz w:val="20"/>
          <w:szCs w:val="20"/>
          <w:shd w:val="clear" w:color="auto" w:fill="FFFFFF"/>
        </w:rPr>
        <w:t>,</w:t>
      </w:r>
      <w:r w:rsidRPr="00115FD1">
        <w:rPr>
          <w:rFonts w:ascii="Arial" w:hAnsi="Arial" w:cs="Arial"/>
          <w:sz w:val="20"/>
          <w:szCs w:val="20"/>
          <w:shd w:val="clear" w:color="auto" w:fill="FFFFFF"/>
        </w:rPr>
        <w:t xml:space="preserve"> auprès de la DIRECCTE, et un exemplaire original au secrétariat greffe du Conseil de Prud’hommes de Paris. </w:t>
      </w:r>
    </w:p>
    <w:p w14:paraId="4D207468" w14:textId="77777777" w:rsidR="00EA29F6" w:rsidRPr="00115FD1" w:rsidRDefault="00235147" w:rsidP="00EA29F6">
      <w:pPr>
        <w:spacing w:line="240" w:lineRule="auto"/>
        <w:jc w:val="both"/>
        <w:rPr>
          <w:rFonts w:ascii="Arial" w:hAnsi="Arial" w:cs="Arial"/>
          <w:sz w:val="20"/>
          <w:szCs w:val="20"/>
          <w:shd w:val="clear" w:color="auto" w:fill="FFFFFF"/>
        </w:rPr>
      </w:pPr>
      <w:r w:rsidRPr="00115FD1">
        <w:rPr>
          <w:rFonts w:ascii="Arial" w:hAnsi="Arial" w:cs="Arial"/>
          <w:sz w:val="20"/>
          <w:szCs w:val="20"/>
          <w:shd w:val="clear" w:color="auto" w:fill="FFFFFF"/>
        </w:rPr>
        <w:t xml:space="preserve">Chaque organisation syndicale représentative recevra un exemplaire du présent </w:t>
      </w:r>
      <w:r w:rsidR="00587E0B" w:rsidRPr="00115FD1">
        <w:rPr>
          <w:rFonts w:ascii="Arial" w:hAnsi="Arial" w:cs="Arial"/>
          <w:sz w:val="20"/>
          <w:szCs w:val="20"/>
          <w:shd w:val="clear" w:color="auto" w:fill="FFFFFF"/>
        </w:rPr>
        <w:t>avenant</w:t>
      </w:r>
      <w:r w:rsidRPr="00115FD1">
        <w:rPr>
          <w:rFonts w:ascii="Arial" w:hAnsi="Arial" w:cs="Arial"/>
          <w:sz w:val="20"/>
          <w:szCs w:val="20"/>
          <w:shd w:val="clear" w:color="auto" w:fill="FFFFFF"/>
        </w:rPr>
        <w:t xml:space="preserve">. </w:t>
      </w:r>
    </w:p>
    <w:p w14:paraId="554D437C" w14:textId="49D8F2D3" w:rsidR="00115FD1" w:rsidRDefault="00115FD1">
      <w:pPr>
        <w:rPr>
          <w:rFonts w:ascii="Arial" w:hAnsi="Arial" w:cs="Arial"/>
          <w:sz w:val="18"/>
          <w:szCs w:val="18"/>
          <w:shd w:val="clear" w:color="auto" w:fill="FFFFFF"/>
        </w:rPr>
      </w:pPr>
      <w:r>
        <w:rPr>
          <w:rFonts w:ascii="Arial" w:hAnsi="Arial" w:cs="Arial"/>
          <w:sz w:val="18"/>
          <w:szCs w:val="18"/>
          <w:shd w:val="clear" w:color="auto" w:fill="FFFFFF"/>
        </w:rPr>
        <w:br w:type="page"/>
      </w:r>
    </w:p>
    <w:p w14:paraId="22E85289" w14:textId="77777777" w:rsidR="00EA29F6" w:rsidRDefault="00EA29F6" w:rsidP="00EA29F6">
      <w:pPr>
        <w:spacing w:line="240" w:lineRule="auto"/>
        <w:jc w:val="both"/>
        <w:rPr>
          <w:rFonts w:ascii="Arial" w:hAnsi="Arial" w:cs="Arial"/>
          <w:sz w:val="18"/>
          <w:szCs w:val="18"/>
          <w:shd w:val="clear" w:color="auto" w:fill="FFFFFF"/>
        </w:rPr>
      </w:pPr>
    </w:p>
    <w:p w14:paraId="50828BF9" w14:textId="7421F1FC" w:rsidR="005B13A1" w:rsidRPr="00EA29F6" w:rsidRDefault="00D71DEE" w:rsidP="00EA29F6">
      <w:pPr>
        <w:spacing w:line="240" w:lineRule="auto"/>
        <w:jc w:val="center"/>
        <w:rPr>
          <w:rFonts w:ascii="Arial" w:hAnsi="Arial" w:cs="Arial"/>
          <w:sz w:val="18"/>
          <w:szCs w:val="18"/>
        </w:rPr>
      </w:pPr>
      <w:r w:rsidRPr="00EA29F6">
        <w:rPr>
          <w:rFonts w:ascii="Arial" w:hAnsi="Arial" w:cs="Arial"/>
          <w:sz w:val="18"/>
          <w:szCs w:val="18"/>
        </w:rPr>
        <w:t>P</w:t>
      </w:r>
      <w:r w:rsidR="005B13A1" w:rsidRPr="00EA29F6">
        <w:rPr>
          <w:rFonts w:ascii="Arial" w:hAnsi="Arial" w:cs="Arial"/>
          <w:sz w:val="18"/>
          <w:szCs w:val="18"/>
        </w:rPr>
        <w:t>our le Commissariat à l’Energie Atomique et aux Energies Alternatives</w:t>
      </w:r>
    </w:p>
    <w:p w14:paraId="3B40BDFA" w14:textId="77777777" w:rsidR="005B13A1" w:rsidRPr="00EA29F6" w:rsidRDefault="005B13A1" w:rsidP="005B13A1">
      <w:pPr>
        <w:spacing w:after="60"/>
        <w:jc w:val="center"/>
        <w:rPr>
          <w:rFonts w:ascii="Arial" w:hAnsi="Arial" w:cs="Arial"/>
          <w:sz w:val="18"/>
          <w:szCs w:val="18"/>
        </w:rPr>
      </w:pPr>
      <w:r w:rsidRPr="00EA29F6">
        <w:rPr>
          <w:rFonts w:ascii="Arial" w:hAnsi="Arial" w:cs="Arial"/>
          <w:sz w:val="18"/>
          <w:szCs w:val="18"/>
        </w:rPr>
        <w:t>Signé</w:t>
      </w:r>
    </w:p>
    <w:p w14:paraId="2A9E620D" w14:textId="77777777" w:rsidR="005B13A1" w:rsidRPr="00EA29F6" w:rsidRDefault="005B13A1" w:rsidP="005B13A1">
      <w:pPr>
        <w:spacing w:after="60"/>
        <w:jc w:val="center"/>
        <w:rPr>
          <w:rFonts w:ascii="Arial" w:hAnsi="Arial" w:cs="Arial"/>
          <w:sz w:val="18"/>
          <w:szCs w:val="18"/>
        </w:rPr>
      </w:pPr>
    </w:p>
    <w:p w14:paraId="19244B97" w14:textId="77777777" w:rsidR="005B13A1" w:rsidRPr="00EA29F6" w:rsidRDefault="005B13A1" w:rsidP="005B13A1">
      <w:pPr>
        <w:spacing w:after="60"/>
        <w:jc w:val="center"/>
        <w:rPr>
          <w:rFonts w:ascii="Arial" w:hAnsi="Arial" w:cs="Arial"/>
          <w:sz w:val="18"/>
          <w:szCs w:val="18"/>
        </w:rPr>
      </w:pPr>
    </w:p>
    <w:p w14:paraId="2074A28B" w14:textId="77777777" w:rsidR="005B13A1" w:rsidRPr="00EA29F6" w:rsidRDefault="005B13A1" w:rsidP="005B13A1">
      <w:pPr>
        <w:spacing w:after="60"/>
        <w:jc w:val="center"/>
        <w:rPr>
          <w:rFonts w:ascii="Arial" w:hAnsi="Arial" w:cs="Arial"/>
          <w:sz w:val="18"/>
          <w:szCs w:val="18"/>
        </w:rPr>
      </w:pPr>
    </w:p>
    <w:p w14:paraId="358C7B4C" w14:textId="77777777" w:rsidR="005B13A1" w:rsidRPr="00EA29F6" w:rsidRDefault="005B13A1" w:rsidP="005B13A1">
      <w:pPr>
        <w:pStyle w:val="En-tte"/>
        <w:tabs>
          <w:tab w:val="clear" w:pos="4536"/>
          <w:tab w:val="clear" w:pos="9072"/>
        </w:tabs>
        <w:spacing w:after="60"/>
        <w:jc w:val="center"/>
        <w:rPr>
          <w:rFonts w:ascii="Arial" w:hAnsi="Arial" w:cs="Arial"/>
          <w:sz w:val="18"/>
          <w:szCs w:val="18"/>
        </w:rPr>
      </w:pPr>
      <w:r w:rsidRPr="00EA29F6">
        <w:rPr>
          <w:rFonts w:ascii="Arial" w:hAnsi="Arial" w:cs="Arial"/>
          <w:sz w:val="18"/>
          <w:szCs w:val="18"/>
        </w:rPr>
        <w:t>Pour l’Union Fédérale des Syndicats du Nucléaire (UFSN/CFDT)</w:t>
      </w:r>
    </w:p>
    <w:p w14:paraId="6962F36A" w14:textId="77777777" w:rsidR="005B13A1" w:rsidRPr="00EA29F6" w:rsidRDefault="005B13A1" w:rsidP="005B13A1">
      <w:pPr>
        <w:spacing w:after="60"/>
        <w:jc w:val="center"/>
        <w:rPr>
          <w:rFonts w:ascii="Arial" w:hAnsi="Arial" w:cs="Arial"/>
          <w:sz w:val="18"/>
          <w:szCs w:val="18"/>
        </w:rPr>
      </w:pPr>
      <w:r w:rsidRPr="00EA29F6">
        <w:rPr>
          <w:rFonts w:ascii="Arial" w:hAnsi="Arial" w:cs="Arial"/>
          <w:sz w:val="18"/>
          <w:szCs w:val="18"/>
        </w:rPr>
        <w:t>Signé</w:t>
      </w:r>
    </w:p>
    <w:p w14:paraId="14211D6D" w14:textId="77777777" w:rsidR="005B13A1" w:rsidRPr="00EA29F6" w:rsidRDefault="005B13A1" w:rsidP="005B13A1">
      <w:pPr>
        <w:spacing w:after="60"/>
        <w:jc w:val="center"/>
        <w:rPr>
          <w:rFonts w:ascii="Arial" w:hAnsi="Arial" w:cs="Arial"/>
          <w:sz w:val="18"/>
          <w:szCs w:val="18"/>
        </w:rPr>
      </w:pPr>
    </w:p>
    <w:p w14:paraId="6F87DAE6" w14:textId="77777777" w:rsidR="005B13A1" w:rsidRPr="00EA29F6" w:rsidRDefault="005B13A1" w:rsidP="005B13A1">
      <w:pPr>
        <w:spacing w:after="60"/>
        <w:jc w:val="center"/>
        <w:rPr>
          <w:rFonts w:ascii="Arial" w:hAnsi="Arial" w:cs="Arial"/>
          <w:sz w:val="18"/>
          <w:szCs w:val="18"/>
        </w:rPr>
      </w:pPr>
    </w:p>
    <w:p w14:paraId="49E59DC5" w14:textId="77777777" w:rsidR="005B13A1" w:rsidRPr="00EA29F6" w:rsidRDefault="005B13A1" w:rsidP="005B13A1">
      <w:pPr>
        <w:spacing w:after="60"/>
        <w:jc w:val="center"/>
        <w:rPr>
          <w:rFonts w:ascii="Arial" w:hAnsi="Arial" w:cs="Arial"/>
          <w:sz w:val="18"/>
          <w:szCs w:val="18"/>
        </w:rPr>
      </w:pPr>
    </w:p>
    <w:p w14:paraId="08E25DEB" w14:textId="77777777" w:rsidR="005B13A1" w:rsidRPr="00EA29F6" w:rsidRDefault="005B13A1" w:rsidP="005B13A1">
      <w:pPr>
        <w:spacing w:after="60"/>
        <w:jc w:val="center"/>
        <w:rPr>
          <w:rFonts w:ascii="Arial" w:hAnsi="Arial" w:cs="Arial"/>
          <w:sz w:val="18"/>
          <w:szCs w:val="18"/>
        </w:rPr>
      </w:pPr>
      <w:r w:rsidRPr="00EA29F6">
        <w:rPr>
          <w:rFonts w:ascii="Arial" w:hAnsi="Arial" w:cs="Arial"/>
          <w:sz w:val="18"/>
          <w:szCs w:val="18"/>
        </w:rPr>
        <w:t>Pour le Syndicat des Ingénieurs, Cadres, Techniciens,</w:t>
      </w:r>
    </w:p>
    <w:p w14:paraId="6F39C18E" w14:textId="77777777" w:rsidR="005B13A1" w:rsidRPr="00EA29F6" w:rsidRDefault="005B13A1" w:rsidP="005B13A1">
      <w:pPr>
        <w:spacing w:after="60"/>
        <w:jc w:val="center"/>
        <w:rPr>
          <w:rFonts w:ascii="Arial" w:hAnsi="Arial" w:cs="Arial"/>
          <w:sz w:val="18"/>
          <w:szCs w:val="18"/>
        </w:rPr>
      </w:pPr>
      <w:r w:rsidRPr="00EA29F6">
        <w:rPr>
          <w:rFonts w:ascii="Arial" w:hAnsi="Arial" w:cs="Arial"/>
          <w:sz w:val="18"/>
          <w:szCs w:val="18"/>
        </w:rPr>
        <w:t>Agents de maîtrise et Assimilés de l’Energie Nucléaire (CFE-CGC/SICTAM)</w:t>
      </w:r>
    </w:p>
    <w:p w14:paraId="15C365D7" w14:textId="77777777" w:rsidR="005B13A1" w:rsidRPr="00EA29F6" w:rsidRDefault="005B13A1" w:rsidP="005B13A1">
      <w:pPr>
        <w:spacing w:after="60"/>
        <w:jc w:val="center"/>
        <w:rPr>
          <w:rFonts w:ascii="Arial" w:hAnsi="Arial" w:cs="Arial"/>
          <w:sz w:val="18"/>
          <w:szCs w:val="18"/>
        </w:rPr>
      </w:pPr>
      <w:r w:rsidRPr="00EA29F6">
        <w:rPr>
          <w:rFonts w:ascii="Arial" w:hAnsi="Arial" w:cs="Arial"/>
          <w:sz w:val="18"/>
          <w:szCs w:val="18"/>
        </w:rPr>
        <w:t>Signé</w:t>
      </w:r>
    </w:p>
    <w:p w14:paraId="0426A953" w14:textId="77777777" w:rsidR="005B13A1" w:rsidRPr="00EA29F6" w:rsidRDefault="005B13A1" w:rsidP="005B13A1">
      <w:pPr>
        <w:spacing w:after="60"/>
        <w:jc w:val="center"/>
        <w:rPr>
          <w:rFonts w:ascii="Arial" w:hAnsi="Arial" w:cs="Arial"/>
          <w:sz w:val="18"/>
          <w:szCs w:val="18"/>
        </w:rPr>
      </w:pPr>
    </w:p>
    <w:p w14:paraId="50BEF4FB" w14:textId="77777777" w:rsidR="005B13A1" w:rsidRPr="00EA29F6" w:rsidRDefault="005B13A1" w:rsidP="005B13A1">
      <w:pPr>
        <w:spacing w:after="60"/>
        <w:jc w:val="center"/>
        <w:rPr>
          <w:rFonts w:ascii="Arial" w:hAnsi="Arial" w:cs="Arial"/>
          <w:sz w:val="18"/>
          <w:szCs w:val="18"/>
        </w:rPr>
      </w:pPr>
    </w:p>
    <w:p w14:paraId="48C91C12" w14:textId="77777777" w:rsidR="005B13A1" w:rsidRPr="00EA29F6" w:rsidRDefault="005B13A1" w:rsidP="005B13A1">
      <w:pPr>
        <w:spacing w:after="60"/>
        <w:jc w:val="center"/>
        <w:rPr>
          <w:rFonts w:ascii="Arial" w:hAnsi="Arial" w:cs="Arial"/>
          <w:sz w:val="18"/>
          <w:szCs w:val="18"/>
        </w:rPr>
      </w:pPr>
    </w:p>
    <w:p w14:paraId="6646C50A" w14:textId="77777777" w:rsidR="005B13A1" w:rsidRPr="00EA29F6" w:rsidRDefault="005B13A1" w:rsidP="005B13A1">
      <w:pPr>
        <w:spacing w:after="60"/>
        <w:jc w:val="center"/>
        <w:rPr>
          <w:rFonts w:ascii="Arial" w:hAnsi="Arial" w:cs="Arial"/>
          <w:sz w:val="18"/>
          <w:szCs w:val="18"/>
        </w:rPr>
      </w:pPr>
      <w:r w:rsidRPr="00EA29F6">
        <w:rPr>
          <w:rFonts w:ascii="Arial" w:hAnsi="Arial" w:cs="Arial"/>
          <w:sz w:val="18"/>
          <w:szCs w:val="18"/>
        </w:rPr>
        <w:t>Pour l’Union Nationale des Syndicats de l’Energie Atomique (UNSEA/FNME/la CGT)</w:t>
      </w:r>
    </w:p>
    <w:p w14:paraId="4401FD0E" w14:textId="77777777" w:rsidR="005B13A1" w:rsidRPr="00EA29F6" w:rsidRDefault="005B13A1" w:rsidP="005B13A1">
      <w:pPr>
        <w:spacing w:after="60"/>
        <w:jc w:val="center"/>
        <w:rPr>
          <w:rFonts w:ascii="Arial" w:hAnsi="Arial" w:cs="Arial"/>
          <w:sz w:val="18"/>
          <w:szCs w:val="18"/>
        </w:rPr>
      </w:pPr>
      <w:r w:rsidRPr="00EA29F6">
        <w:rPr>
          <w:rFonts w:ascii="Arial" w:hAnsi="Arial" w:cs="Arial"/>
          <w:sz w:val="18"/>
          <w:szCs w:val="18"/>
        </w:rPr>
        <w:t>Signé</w:t>
      </w:r>
    </w:p>
    <w:p w14:paraId="1B55D58F" w14:textId="77777777" w:rsidR="005B13A1" w:rsidRPr="00EA29F6" w:rsidRDefault="005B13A1" w:rsidP="005B13A1">
      <w:pPr>
        <w:spacing w:after="60"/>
        <w:jc w:val="center"/>
        <w:rPr>
          <w:rFonts w:ascii="Arial" w:hAnsi="Arial" w:cs="Arial"/>
          <w:sz w:val="18"/>
          <w:szCs w:val="18"/>
        </w:rPr>
      </w:pPr>
    </w:p>
    <w:p w14:paraId="490E0A40" w14:textId="77777777" w:rsidR="005B13A1" w:rsidRPr="00EA29F6" w:rsidRDefault="005B13A1" w:rsidP="005B13A1">
      <w:pPr>
        <w:spacing w:after="60"/>
        <w:jc w:val="center"/>
        <w:rPr>
          <w:rFonts w:ascii="Arial" w:hAnsi="Arial" w:cs="Arial"/>
          <w:sz w:val="18"/>
          <w:szCs w:val="18"/>
        </w:rPr>
      </w:pPr>
    </w:p>
    <w:p w14:paraId="3AAC0DFF" w14:textId="77777777" w:rsidR="005B13A1" w:rsidRPr="00EA29F6" w:rsidRDefault="005B13A1" w:rsidP="005B13A1">
      <w:pPr>
        <w:spacing w:after="60"/>
        <w:jc w:val="center"/>
        <w:rPr>
          <w:rFonts w:ascii="Arial" w:hAnsi="Arial" w:cs="Arial"/>
          <w:sz w:val="18"/>
          <w:szCs w:val="18"/>
        </w:rPr>
      </w:pPr>
    </w:p>
    <w:p w14:paraId="75A1B3D2" w14:textId="77777777" w:rsidR="005B13A1" w:rsidRPr="00EA29F6" w:rsidRDefault="005B13A1" w:rsidP="005B13A1">
      <w:pPr>
        <w:spacing w:after="60"/>
        <w:jc w:val="center"/>
        <w:rPr>
          <w:rFonts w:ascii="Arial" w:hAnsi="Arial" w:cs="Arial"/>
          <w:sz w:val="18"/>
          <w:szCs w:val="18"/>
        </w:rPr>
      </w:pPr>
    </w:p>
    <w:p w14:paraId="577C645E" w14:textId="77777777" w:rsidR="005B13A1" w:rsidRPr="00EA29F6" w:rsidRDefault="005B13A1" w:rsidP="005B13A1">
      <w:pPr>
        <w:spacing w:after="60"/>
        <w:jc w:val="center"/>
        <w:rPr>
          <w:rFonts w:ascii="Arial" w:hAnsi="Arial" w:cs="Arial"/>
          <w:sz w:val="18"/>
          <w:szCs w:val="18"/>
        </w:rPr>
      </w:pPr>
      <w:r w:rsidRPr="00EA29F6">
        <w:rPr>
          <w:rFonts w:ascii="Arial" w:hAnsi="Arial" w:cs="Arial"/>
          <w:sz w:val="18"/>
          <w:szCs w:val="18"/>
        </w:rPr>
        <w:t>Pour l’Union Nationale des Syndicats Autonomes / Syndicat Professionnel Autonome</w:t>
      </w:r>
    </w:p>
    <w:p w14:paraId="5A234556" w14:textId="77777777" w:rsidR="005B13A1" w:rsidRPr="00EA29F6" w:rsidRDefault="005B13A1" w:rsidP="005B13A1">
      <w:pPr>
        <w:spacing w:after="60"/>
        <w:jc w:val="center"/>
        <w:rPr>
          <w:rFonts w:ascii="Arial" w:hAnsi="Arial" w:cs="Arial"/>
          <w:sz w:val="18"/>
          <w:szCs w:val="18"/>
        </w:rPr>
      </w:pPr>
      <w:proofErr w:type="gramStart"/>
      <w:r w:rsidRPr="00EA29F6">
        <w:rPr>
          <w:rFonts w:ascii="Arial" w:hAnsi="Arial" w:cs="Arial"/>
          <w:sz w:val="18"/>
          <w:szCs w:val="18"/>
        </w:rPr>
        <w:t>des</w:t>
      </w:r>
      <w:proofErr w:type="gramEnd"/>
      <w:r w:rsidRPr="00EA29F6">
        <w:rPr>
          <w:rFonts w:ascii="Arial" w:hAnsi="Arial" w:cs="Arial"/>
          <w:sz w:val="18"/>
          <w:szCs w:val="18"/>
        </w:rPr>
        <w:t xml:space="preserve"> Agents de l’Energie Nucléaire (UNSA/SPAEN)</w:t>
      </w:r>
    </w:p>
    <w:p w14:paraId="1627D042" w14:textId="77777777" w:rsidR="005B13A1" w:rsidRPr="00EA29F6" w:rsidRDefault="005B13A1" w:rsidP="005B13A1">
      <w:pPr>
        <w:spacing w:after="60"/>
        <w:jc w:val="center"/>
        <w:rPr>
          <w:rFonts w:ascii="Arial" w:hAnsi="Arial" w:cs="Arial"/>
          <w:sz w:val="18"/>
          <w:szCs w:val="18"/>
        </w:rPr>
      </w:pPr>
      <w:r w:rsidRPr="00EA29F6">
        <w:rPr>
          <w:rFonts w:ascii="Arial" w:hAnsi="Arial" w:cs="Arial"/>
          <w:sz w:val="18"/>
          <w:szCs w:val="18"/>
        </w:rPr>
        <w:t>Signé</w:t>
      </w:r>
    </w:p>
    <w:p w14:paraId="106D298E" w14:textId="33941A4F" w:rsidR="005B13A1" w:rsidRPr="00EA29F6" w:rsidRDefault="005B13A1" w:rsidP="005B13A1">
      <w:pPr>
        <w:spacing w:after="60"/>
        <w:jc w:val="center"/>
        <w:rPr>
          <w:rFonts w:ascii="Arial" w:hAnsi="Arial" w:cs="Arial"/>
          <w:sz w:val="18"/>
          <w:szCs w:val="18"/>
        </w:rPr>
      </w:pPr>
    </w:p>
    <w:p w14:paraId="53C21832" w14:textId="0F11F393" w:rsidR="00D71DEE" w:rsidRPr="00EA29F6" w:rsidRDefault="00D71DEE" w:rsidP="005B13A1">
      <w:pPr>
        <w:spacing w:after="60"/>
        <w:jc w:val="center"/>
        <w:rPr>
          <w:rFonts w:ascii="Arial" w:hAnsi="Arial" w:cs="Arial"/>
          <w:sz w:val="18"/>
          <w:szCs w:val="18"/>
        </w:rPr>
      </w:pPr>
    </w:p>
    <w:p w14:paraId="58587E6A" w14:textId="77777777" w:rsidR="00D71DEE" w:rsidRPr="00EA29F6" w:rsidRDefault="00D71DEE" w:rsidP="00D71DEE">
      <w:pPr>
        <w:spacing w:after="0" w:line="240" w:lineRule="auto"/>
        <w:jc w:val="both"/>
        <w:rPr>
          <w:rFonts w:ascii="Arial" w:hAnsi="Arial" w:cs="Arial"/>
          <w:sz w:val="18"/>
          <w:szCs w:val="18"/>
          <w:shd w:val="clear" w:color="auto" w:fill="FFFFFF"/>
        </w:rPr>
      </w:pPr>
      <w:r w:rsidRPr="00EA29F6">
        <w:rPr>
          <w:rFonts w:ascii="Arial" w:hAnsi="Arial" w:cs="Arial"/>
          <w:sz w:val="18"/>
          <w:szCs w:val="18"/>
          <w:shd w:val="clear" w:color="auto" w:fill="FFFFFF"/>
        </w:rPr>
        <w:tab/>
      </w:r>
      <w:r w:rsidRPr="00EA29F6">
        <w:rPr>
          <w:rFonts w:ascii="Arial" w:hAnsi="Arial" w:cs="Arial"/>
          <w:sz w:val="18"/>
          <w:szCs w:val="18"/>
          <w:shd w:val="clear" w:color="auto" w:fill="FFFFFF"/>
        </w:rPr>
        <w:tab/>
      </w:r>
      <w:r w:rsidRPr="00EA29F6">
        <w:rPr>
          <w:rFonts w:ascii="Arial" w:hAnsi="Arial" w:cs="Arial"/>
          <w:sz w:val="18"/>
          <w:szCs w:val="18"/>
          <w:shd w:val="clear" w:color="auto" w:fill="FFFFFF"/>
        </w:rPr>
        <w:tab/>
      </w:r>
      <w:r w:rsidRPr="00EA29F6">
        <w:rPr>
          <w:rFonts w:ascii="Arial" w:hAnsi="Arial" w:cs="Arial"/>
          <w:sz w:val="18"/>
          <w:szCs w:val="18"/>
          <w:shd w:val="clear" w:color="auto" w:fill="FFFFFF"/>
        </w:rPr>
        <w:tab/>
      </w:r>
      <w:r w:rsidRPr="00EA29F6">
        <w:rPr>
          <w:rFonts w:ascii="Arial" w:hAnsi="Arial" w:cs="Arial"/>
          <w:sz w:val="18"/>
          <w:szCs w:val="18"/>
          <w:shd w:val="clear" w:color="auto" w:fill="FFFFFF"/>
        </w:rPr>
        <w:tab/>
      </w:r>
      <w:r w:rsidRPr="00EA29F6">
        <w:rPr>
          <w:rFonts w:ascii="Arial" w:hAnsi="Arial" w:cs="Arial"/>
          <w:sz w:val="18"/>
          <w:szCs w:val="18"/>
          <w:shd w:val="clear" w:color="auto" w:fill="FFFFFF"/>
        </w:rPr>
        <w:tab/>
      </w:r>
      <w:r w:rsidRPr="00EA29F6">
        <w:rPr>
          <w:rFonts w:ascii="Arial" w:hAnsi="Arial" w:cs="Arial"/>
          <w:sz w:val="18"/>
          <w:szCs w:val="18"/>
          <w:shd w:val="clear" w:color="auto" w:fill="FFFFFF"/>
        </w:rPr>
        <w:tab/>
      </w:r>
      <w:r w:rsidRPr="00EA29F6">
        <w:rPr>
          <w:rFonts w:ascii="Arial" w:hAnsi="Arial" w:cs="Arial"/>
          <w:sz w:val="18"/>
          <w:szCs w:val="18"/>
          <w:shd w:val="clear" w:color="auto" w:fill="FFFFFF"/>
        </w:rPr>
        <w:tab/>
        <w:t>Fait à</w:t>
      </w:r>
      <w:proofErr w:type="gramStart"/>
      <w:r w:rsidRPr="00EA29F6">
        <w:rPr>
          <w:rFonts w:ascii="Arial" w:hAnsi="Arial" w:cs="Arial"/>
          <w:sz w:val="18"/>
          <w:szCs w:val="18"/>
          <w:shd w:val="clear" w:color="auto" w:fill="FFFFFF"/>
        </w:rPr>
        <w:t xml:space="preserve"> ….</w:t>
      </w:r>
      <w:proofErr w:type="gramEnd"/>
      <w:r w:rsidRPr="00EA29F6">
        <w:rPr>
          <w:rFonts w:ascii="Arial" w:hAnsi="Arial" w:cs="Arial"/>
          <w:sz w:val="18"/>
          <w:szCs w:val="18"/>
          <w:shd w:val="clear" w:color="auto" w:fill="FFFFFF"/>
        </w:rPr>
        <w:t>, Le ….</w:t>
      </w:r>
    </w:p>
    <w:p w14:paraId="3EBA02E4" w14:textId="77777777" w:rsidR="00D71DEE" w:rsidRPr="00EA29F6" w:rsidRDefault="00D71DEE" w:rsidP="005B13A1">
      <w:pPr>
        <w:spacing w:after="60"/>
        <w:jc w:val="center"/>
        <w:rPr>
          <w:rFonts w:ascii="Arial" w:hAnsi="Arial" w:cs="Arial"/>
          <w:sz w:val="18"/>
          <w:szCs w:val="18"/>
        </w:rPr>
      </w:pPr>
    </w:p>
    <w:sectPr w:rsidR="00D71DEE" w:rsidRPr="00EA29F6" w:rsidSect="009F0C5D">
      <w:headerReference w:type="even" r:id="rId9"/>
      <w:headerReference w:type="default" r:id="rId10"/>
      <w:footerReference w:type="default" r:id="rId11"/>
      <w:pgSz w:w="11906" w:h="16838"/>
      <w:pgMar w:top="1417" w:right="1417" w:bottom="1135" w:left="141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47780" w14:textId="77777777" w:rsidR="0083515D" w:rsidRDefault="0083515D" w:rsidP="003F0090">
      <w:pPr>
        <w:spacing w:after="0" w:line="240" w:lineRule="auto"/>
      </w:pPr>
      <w:r>
        <w:separator/>
      </w:r>
    </w:p>
  </w:endnote>
  <w:endnote w:type="continuationSeparator" w:id="0">
    <w:p w14:paraId="6D0D91C2" w14:textId="77777777" w:rsidR="0083515D" w:rsidRDefault="0083515D" w:rsidP="003F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F221" w14:textId="610C2339" w:rsidR="00C249D0" w:rsidRPr="008D4FB7" w:rsidRDefault="00C249D0" w:rsidP="009F0C5D">
    <w:pPr>
      <w:pStyle w:val="piedpage"/>
      <w:pBdr>
        <w:top w:val="single" w:sz="6" w:space="0" w:color="C00000"/>
      </w:pBdr>
      <w:rPr>
        <w:rStyle w:val="piedpageCar"/>
        <w:i/>
        <w:smallCaps/>
      </w:rPr>
    </w:pPr>
    <w:r w:rsidRPr="00896C1B">
      <w:rPr>
        <w:highlight w:val="yellow"/>
        <w:lang w:eastAsia="fr-FR"/>
      </w:rPr>
      <w:drawing>
        <wp:anchor distT="0" distB="0" distL="114300" distR="114300" simplePos="0" relativeHeight="251657216" behindDoc="1" locked="0" layoutInCell="1" allowOverlap="1" wp14:anchorId="6875FE1A" wp14:editId="11A20882">
          <wp:simplePos x="0" y="0"/>
          <wp:positionH relativeFrom="column">
            <wp:posOffset>-4445</wp:posOffset>
          </wp:positionH>
          <wp:positionV relativeFrom="paragraph">
            <wp:posOffset>130810</wp:posOffset>
          </wp:positionV>
          <wp:extent cx="600075" cy="488950"/>
          <wp:effectExtent l="0" t="0" r="9525" b="6350"/>
          <wp:wrapTight wrapText="bothSides">
            <wp:wrapPolygon edited="0">
              <wp:start x="0" y="0"/>
              <wp:lineTo x="0" y="21039"/>
              <wp:lineTo x="21257" y="21039"/>
              <wp:lineTo x="21257"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600075" cy="488950"/>
                  </a:xfrm>
                  <a:prstGeom prst="rect">
                    <a:avLst/>
                  </a:prstGeom>
                </pic:spPr>
              </pic:pic>
            </a:graphicData>
          </a:graphic>
          <wp14:sizeRelH relativeFrom="margin">
            <wp14:pctWidth>0</wp14:pctWidth>
          </wp14:sizeRelH>
          <wp14:sizeRelV relativeFrom="margin">
            <wp14:pctHeight>0</wp14:pctHeight>
          </wp14:sizeRelV>
        </wp:anchor>
      </w:drawing>
    </w:r>
    <w:r w:rsidRPr="008D4FB7">
      <w:rPr>
        <w:rStyle w:val="piedpageCar"/>
        <w:i/>
        <w:smallCaps/>
      </w:rPr>
      <w:t xml:space="preserve">– </w:t>
    </w:r>
    <w:r>
      <w:rPr>
        <w:rFonts w:ascii="Verdana" w:hAnsi="Verdana"/>
        <w:sz w:val="16"/>
      </w:rPr>
      <w:t xml:space="preserve">Page </w:t>
    </w:r>
    <w:r w:rsidRPr="00BD0074">
      <w:rPr>
        <w:rFonts w:ascii="Verdana" w:hAnsi="Verdana"/>
        <w:b/>
        <w:sz w:val="16"/>
      </w:rPr>
      <w:fldChar w:fldCharType="begin"/>
    </w:r>
    <w:r w:rsidRPr="00BD0074">
      <w:rPr>
        <w:rFonts w:ascii="Verdana" w:hAnsi="Verdana"/>
        <w:b/>
        <w:sz w:val="16"/>
      </w:rPr>
      <w:instrText xml:space="preserve"> PAGE </w:instrText>
    </w:r>
    <w:r w:rsidRPr="00BD0074">
      <w:rPr>
        <w:rFonts w:ascii="Verdana" w:hAnsi="Verdana"/>
        <w:b/>
        <w:sz w:val="16"/>
      </w:rPr>
      <w:fldChar w:fldCharType="separate"/>
    </w:r>
    <w:r w:rsidR="0044776C">
      <w:rPr>
        <w:rFonts w:ascii="Verdana" w:hAnsi="Verdana"/>
        <w:b/>
        <w:sz w:val="16"/>
      </w:rPr>
      <w:t>5</w:t>
    </w:r>
    <w:r w:rsidRPr="00BD0074">
      <w:rPr>
        <w:rFonts w:ascii="Verdana" w:hAnsi="Verdana"/>
        <w:b/>
        <w:sz w:val="16"/>
      </w:rPr>
      <w:fldChar w:fldCharType="end"/>
    </w:r>
    <w:r>
      <w:rPr>
        <w:rFonts w:ascii="Verdana" w:hAnsi="Verdana"/>
        <w:sz w:val="16"/>
      </w:rPr>
      <w:t xml:space="preserve"> sur</w:t>
    </w:r>
    <w:r w:rsidRPr="00BD0074">
      <w:rPr>
        <w:rFonts w:ascii="Verdana" w:hAnsi="Verdana"/>
        <w:b/>
        <w:sz w:val="16"/>
      </w:rPr>
      <w:t xml:space="preserve"> </w:t>
    </w:r>
    <w:r w:rsidRPr="00BD0074">
      <w:rPr>
        <w:rFonts w:ascii="Verdana" w:hAnsi="Verdana"/>
        <w:b/>
        <w:sz w:val="16"/>
      </w:rPr>
      <w:fldChar w:fldCharType="begin"/>
    </w:r>
    <w:r w:rsidRPr="00BD0074">
      <w:rPr>
        <w:rFonts w:ascii="Verdana" w:hAnsi="Verdana"/>
        <w:b/>
        <w:sz w:val="16"/>
      </w:rPr>
      <w:instrText xml:space="preserve"> NUMPAGES </w:instrText>
    </w:r>
    <w:r w:rsidRPr="00BD0074">
      <w:rPr>
        <w:rFonts w:ascii="Verdana" w:hAnsi="Verdana"/>
        <w:b/>
        <w:sz w:val="16"/>
      </w:rPr>
      <w:fldChar w:fldCharType="separate"/>
    </w:r>
    <w:r w:rsidR="0044776C">
      <w:rPr>
        <w:rFonts w:ascii="Verdana" w:hAnsi="Verdana"/>
        <w:b/>
        <w:sz w:val="16"/>
      </w:rPr>
      <w:t>6</w:t>
    </w:r>
    <w:r w:rsidRPr="00BD0074">
      <w:rPr>
        <w:rFonts w:ascii="Verdana" w:hAnsi="Verdana"/>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5010A" w14:textId="77777777" w:rsidR="0083515D" w:rsidRDefault="0083515D" w:rsidP="003F0090">
      <w:pPr>
        <w:spacing w:after="0" w:line="240" w:lineRule="auto"/>
      </w:pPr>
      <w:r>
        <w:separator/>
      </w:r>
    </w:p>
  </w:footnote>
  <w:footnote w:type="continuationSeparator" w:id="0">
    <w:p w14:paraId="2F674C9A" w14:textId="77777777" w:rsidR="0083515D" w:rsidRDefault="0083515D" w:rsidP="003F0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0B349" w14:textId="77777777" w:rsidR="00C249D0" w:rsidRDefault="0044776C">
    <w:pPr>
      <w:pStyle w:val="En-tte"/>
    </w:pPr>
    <w:r>
      <w:rPr>
        <w:noProof/>
      </w:rPr>
      <w:pict w14:anchorId="72697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46878" o:spid="_x0000_s2050" type="#_x0000_t136" style="position:absolute;margin-left:0;margin-top:0;width:538.55pt;height:100.95pt;rotation:315;z-index:-251658240;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1FEB" w14:textId="77777777" w:rsidR="00C249D0" w:rsidRDefault="00C249D0" w:rsidP="00F456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660"/>
    <w:multiLevelType w:val="hybridMultilevel"/>
    <w:tmpl w:val="2DBA80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BD0C2A"/>
    <w:multiLevelType w:val="hybridMultilevel"/>
    <w:tmpl w:val="573ABDC2"/>
    <w:lvl w:ilvl="0" w:tplc="3C9EFCDC">
      <w:start w:val="1"/>
      <w:numFmt w:val="decimal"/>
      <w:lvlText w:val="%1."/>
      <w:lvlJc w:val="left"/>
      <w:pPr>
        <w:ind w:left="720" w:hanging="360"/>
      </w:pPr>
      <w:rPr>
        <w:rFonts w:ascii="Arial" w:eastAsiaTheme="minorHAnsi" w:hAnsi="Arial" w:cs="Arial"/>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7D6C2E"/>
    <w:multiLevelType w:val="hybridMultilevel"/>
    <w:tmpl w:val="DD1043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2D25EF"/>
    <w:multiLevelType w:val="hybridMultilevel"/>
    <w:tmpl w:val="A2F07D7A"/>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23145E2F"/>
    <w:multiLevelType w:val="hybridMultilevel"/>
    <w:tmpl w:val="8F8EDD38"/>
    <w:lvl w:ilvl="0" w:tplc="C878514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757AA1"/>
    <w:multiLevelType w:val="hybridMultilevel"/>
    <w:tmpl w:val="99EEB714"/>
    <w:lvl w:ilvl="0" w:tplc="41860D5A">
      <w:numFmt w:val="bullet"/>
      <w:lvlText w:val="-"/>
      <w:lvlJc w:val="left"/>
      <w:pPr>
        <w:ind w:left="2856" w:hanging="360"/>
      </w:pPr>
      <w:rPr>
        <w:rFonts w:ascii="Arial" w:eastAsiaTheme="minorHAnsi"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B811C39"/>
    <w:multiLevelType w:val="hybridMultilevel"/>
    <w:tmpl w:val="B1103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903112"/>
    <w:multiLevelType w:val="hybridMultilevel"/>
    <w:tmpl w:val="8A848E34"/>
    <w:lvl w:ilvl="0" w:tplc="41860D5A">
      <w:numFmt w:val="bullet"/>
      <w:lvlText w:val="-"/>
      <w:lvlJc w:val="left"/>
      <w:pPr>
        <w:ind w:left="2136" w:hanging="360"/>
      </w:pPr>
      <w:rPr>
        <w:rFonts w:ascii="Arial" w:eastAsiaTheme="minorHAnsi" w:hAnsi="Arial" w:cs="Aria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15:restartNumberingAfterBreak="0">
    <w:nsid w:val="2F075EFA"/>
    <w:multiLevelType w:val="hybridMultilevel"/>
    <w:tmpl w:val="BF64DA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BA26D5"/>
    <w:multiLevelType w:val="hybridMultilevel"/>
    <w:tmpl w:val="0394C772"/>
    <w:lvl w:ilvl="0" w:tplc="41860D5A">
      <w:numFmt w:val="bullet"/>
      <w:lvlText w:val="-"/>
      <w:lvlJc w:val="left"/>
      <w:pPr>
        <w:ind w:left="1068"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8D2C1D"/>
    <w:multiLevelType w:val="multilevel"/>
    <w:tmpl w:val="68641EB8"/>
    <w:lvl w:ilvl="0">
      <w:start w:val="1"/>
      <w:numFmt w:val="decimal"/>
      <w:lvlText w:val="Article %1."/>
      <w:lvlJc w:val="left"/>
      <w:pPr>
        <w:ind w:left="786" w:hanging="360"/>
      </w:pPr>
      <w:rPr>
        <w:rFonts w:hint="default"/>
        <w:color w:val="C00000"/>
        <w:u w:color="FFFFFF" w:themeColor="background1"/>
      </w:rPr>
    </w:lvl>
    <w:lvl w:ilvl="1">
      <w:start w:val="1"/>
      <w:numFmt w:val="upperLetter"/>
      <w:lvlText w:val="%2."/>
      <w:lvlJc w:val="left"/>
      <w:pPr>
        <w:ind w:left="1361" w:hanging="369"/>
      </w:pPr>
      <w:rPr>
        <w:rFonts w:hint="default"/>
      </w:rPr>
    </w:lvl>
    <w:lvl w:ilvl="2">
      <w:start w:val="1"/>
      <w:numFmt w:val="decimal"/>
      <w:pStyle w:val="Titre3"/>
      <w:lvlText w:val="%3."/>
      <w:lvlJc w:val="left"/>
      <w:pPr>
        <w:ind w:left="340"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BFE4CFF"/>
    <w:multiLevelType w:val="hybridMultilevel"/>
    <w:tmpl w:val="2A042CFC"/>
    <w:lvl w:ilvl="0" w:tplc="41860D5A">
      <w:numFmt w:val="bullet"/>
      <w:lvlText w:val="-"/>
      <w:lvlJc w:val="left"/>
      <w:pPr>
        <w:ind w:left="744" w:hanging="360"/>
      </w:pPr>
      <w:rPr>
        <w:rFonts w:ascii="Arial" w:eastAsiaTheme="minorHAnsi" w:hAnsi="Arial" w:cs="Arial" w:hint="default"/>
      </w:rPr>
    </w:lvl>
    <w:lvl w:ilvl="1" w:tplc="040C0003" w:tentative="1">
      <w:start w:val="1"/>
      <w:numFmt w:val="bullet"/>
      <w:lvlText w:val="o"/>
      <w:lvlJc w:val="left"/>
      <w:pPr>
        <w:ind w:left="1464" w:hanging="360"/>
      </w:pPr>
      <w:rPr>
        <w:rFonts w:ascii="Courier New" w:hAnsi="Courier New" w:cs="Courier New" w:hint="default"/>
      </w:rPr>
    </w:lvl>
    <w:lvl w:ilvl="2" w:tplc="040C0005" w:tentative="1">
      <w:start w:val="1"/>
      <w:numFmt w:val="bullet"/>
      <w:lvlText w:val=""/>
      <w:lvlJc w:val="left"/>
      <w:pPr>
        <w:ind w:left="2184" w:hanging="360"/>
      </w:pPr>
      <w:rPr>
        <w:rFonts w:ascii="Wingdings" w:hAnsi="Wingdings" w:hint="default"/>
      </w:rPr>
    </w:lvl>
    <w:lvl w:ilvl="3" w:tplc="040C0001" w:tentative="1">
      <w:start w:val="1"/>
      <w:numFmt w:val="bullet"/>
      <w:lvlText w:val=""/>
      <w:lvlJc w:val="left"/>
      <w:pPr>
        <w:ind w:left="2904" w:hanging="360"/>
      </w:pPr>
      <w:rPr>
        <w:rFonts w:ascii="Symbol" w:hAnsi="Symbol" w:hint="default"/>
      </w:rPr>
    </w:lvl>
    <w:lvl w:ilvl="4" w:tplc="040C0003" w:tentative="1">
      <w:start w:val="1"/>
      <w:numFmt w:val="bullet"/>
      <w:lvlText w:val="o"/>
      <w:lvlJc w:val="left"/>
      <w:pPr>
        <w:ind w:left="3624" w:hanging="360"/>
      </w:pPr>
      <w:rPr>
        <w:rFonts w:ascii="Courier New" w:hAnsi="Courier New" w:cs="Courier New" w:hint="default"/>
      </w:rPr>
    </w:lvl>
    <w:lvl w:ilvl="5" w:tplc="040C0005" w:tentative="1">
      <w:start w:val="1"/>
      <w:numFmt w:val="bullet"/>
      <w:lvlText w:val=""/>
      <w:lvlJc w:val="left"/>
      <w:pPr>
        <w:ind w:left="4344" w:hanging="360"/>
      </w:pPr>
      <w:rPr>
        <w:rFonts w:ascii="Wingdings" w:hAnsi="Wingdings" w:hint="default"/>
      </w:rPr>
    </w:lvl>
    <w:lvl w:ilvl="6" w:tplc="040C0001" w:tentative="1">
      <w:start w:val="1"/>
      <w:numFmt w:val="bullet"/>
      <w:lvlText w:val=""/>
      <w:lvlJc w:val="left"/>
      <w:pPr>
        <w:ind w:left="5064" w:hanging="360"/>
      </w:pPr>
      <w:rPr>
        <w:rFonts w:ascii="Symbol" w:hAnsi="Symbol" w:hint="default"/>
      </w:rPr>
    </w:lvl>
    <w:lvl w:ilvl="7" w:tplc="040C0003" w:tentative="1">
      <w:start w:val="1"/>
      <w:numFmt w:val="bullet"/>
      <w:lvlText w:val="o"/>
      <w:lvlJc w:val="left"/>
      <w:pPr>
        <w:ind w:left="5784" w:hanging="360"/>
      </w:pPr>
      <w:rPr>
        <w:rFonts w:ascii="Courier New" w:hAnsi="Courier New" w:cs="Courier New" w:hint="default"/>
      </w:rPr>
    </w:lvl>
    <w:lvl w:ilvl="8" w:tplc="040C0005" w:tentative="1">
      <w:start w:val="1"/>
      <w:numFmt w:val="bullet"/>
      <w:lvlText w:val=""/>
      <w:lvlJc w:val="left"/>
      <w:pPr>
        <w:ind w:left="6504" w:hanging="360"/>
      </w:pPr>
      <w:rPr>
        <w:rFonts w:ascii="Wingdings" w:hAnsi="Wingdings" w:hint="default"/>
      </w:rPr>
    </w:lvl>
  </w:abstractNum>
  <w:abstractNum w:abstractNumId="12" w15:restartNumberingAfterBreak="0">
    <w:nsid w:val="3FED1DD1"/>
    <w:multiLevelType w:val="hybridMultilevel"/>
    <w:tmpl w:val="4A1EEB9A"/>
    <w:lvl w:ilvl="0" w:tplc="2CF29048">
      <w:start w:val="1"/>
      <w:numFmt w:val="decimal"/>
      <w:lvlText w:val="%1."/>
      <w:lvlJc w:val="left"/>
      <w:pPr>
        <w:ind w:left="742" w:hanging="360"/>
      </w:pPr>
      <w:rPr>
        <w:rFonts w:ascii="Arial" w:eastAsia="Times New Roman" w:hAnsi="Arial" w:cs="Arial"/>
      </w:rPr>
    </w:lvl>
    <w:lvl w:ilvl="1" w:tplc="040C0019" w:tentative="1">
      <w:start w:val="1"/>
      <w:numFmt w:val="lowerLetter"/>
      <w:lvlText w:val="%2."/>
      <w:lvlJc w:val="left"/>
      <w:pPr>
        <w:ind w:left="1462" w:hanging="360"/>
      </w:pPr>
    </w:lvl>
    <w:lvl w:ilvl="2" w:tplc="040C001B" w:tentative="1">
      <w:start w:val="1"/>
      <w:numFmt w:val="lowerRoman"/>
      <w:lvlText w:val="%3."/>
      <w:lvlJc w:val="right"/>
      <w:pPr>
        <w:ind w:left="2182" w:hanging="180"/>
      </w:pPr>
    </w:lvl>
    <w:lvl w:ilvl="3" w:tplc="040C000F" w:tentative="1">
      <w:start w:val="1"/>
      <w:numFmt w:val="decimal"/>
      <w:lvlText w:val="%4."/>
      <w:lvlJc w:val="left"/>
      <w:pPr>
        <w:ind w:left="2902" w:hanging="360"/>
      </w:pPr>
    </w:lvl>
    <w:lvl w:ilvl="4" w:tplc="040C0019" w:tentative="1">
      <w:start w:val="1"/>
      <w:numFmt w:val="lowerLetter"/>
      <w:lvlText w:val="%5."/>
      <w:lvlJc w:val="left"/>
      <w:pPr>
        <w:ind w:left="3622" w:hanging="360"/>
      </w:pPr>
    </w:lvl>
    <w:lvl w:ilvl="5" w:tplc="040C001B" w:tentative="1">
      <w:start w:val="1"/>
      <w:numFmt w:val="lowerRoman"/>
      <w:lvlText w:val="%6."/>
      <w:lvlJc w:val="right"/>
      <w:pPr>
        <w:ind w:left="4342" w:hanging="180"/>
      </w:pPr>
    </w:lvl>
    <w:lvl w:ilvl="6" w:tplc="040C000F" w:tentative="1">
      <w:start w:val="1"/>
      <w:numFmt w:val="decimal"/>
      <w:lvlText w:val="%7."/>
      <w:lvlJc w:val="left"/>
      <w:pPr>
        <w:ind w:left="5062" w:hanging="360"/>
      </w:pPr>
    </w:lvl>
    <w:lvl w:ilvl="7" w:tplc="040C0019" w:tentative="1">
      <w:start w:val="1"/>
      <w:numFmt w:val="lowerLetter"/>
      <w:lvlText w:val="%8."/>
      <w:lvlJc w:val="left"/>
      <w:pPr>
        <w:ind w:left="5782" w:hanging="360"/>
      </w:pPr>
    </w:lvl>
    <w:lvl w:ilvl="8" w:tplc="040C001B" w:tentative="1">
      <w:start w:val="1"/>
      <w:numFmt w:val="lowerRoman"/>
      <w:lvlText w:val="%9."/>
      <w:lvlJc w:val="right"/>
      <w:pPr>
        <w:ind w:left="6502" w:hanging="180"/>
      </w:pPr>
    </w:lvl>
  </w:abstractNum>
  <w:abstractNum w:abstractNumId="13" w15:restartNumberingAfterBreak="0">
    <w:nsid w:val="40A073EA"/>
    <w:multiLevelType w:val="hybridMultilevel"/>
    <w:tmpl w:val="694CDFAC"/>
    <w:lvl w:ilvl="0" w:tplc="41860D5A">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0B1051"/>
    <w:multiLevelType w:val="hybridMultilevel"/>
    <w:tmpl w:val="3DECDDCA"/>
    <w:lvl w:ilvl="0" w:tplc="ACD63FC8">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486D495B"/>
    <w:multiLevelType w:val="hybridMultilevel"/>
    <w:tmpl w:val="EFF423BA"/>
    <w:lvl w:ilvl="0" w:tplc="41860D5A">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A7635F"/>
    <w:multiLevelType w:val="hybridMultilevel"/>
    <w:tmpl w:val="F34667BA"/>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7" w15:restartNumberingAfterBreak="0">
    <w:nsid w:val="51A01B69"/>
    <w:multiLevelType w:val="hybridMultilevel"/>
    <w:tmpl w:val="8BAE2AB2"/>
    <w:lvl w:ilvl="0" w:tplc="8E2A60C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52415998"/>
    <w:multiLevelType w:val="hybridMultilevel"/>
    <w:tmpl w:val="7A1263A2"/>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52BA021E"/>
    <w:multiLevelType w:val="hybridMultilevel"/>
    <w:tmpl w:val="89D4039A"/>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15:restartNumberingAfterBreak="0">
    <w:nsid w:val="562D5042"/>
    <w:multiLevelType w:val="hybridMultilevel"/>
    <w:tmpl w:val="6084FD80"/>
    <w:lvl w:ilvl="0" w:tplc="9F5E4A1C">
      <w:start w:val="1"/>
      <w:numFmt w:val="bullet"/>
      <w:pStyle w:val="EFLitemtiret"/>
      <w:lvlText w:val="-"/>
      <w:lvlJc w:val="left"/>
      <w:pPr>
        <w:ind w:left="1287" w:hanging="360"/>
      </w:pPr>
      <w:rPr>
        <w:rFonts w:ascii="Times New Roman" w:hAnsi="Times New Roman"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570070B7"/>
    <w:multiLevelType w:val="hybridMultilevel"/>
    <w:tmpl w:val="90C43948"/>
    <w:lvl w:ilvl="0" w:tplc="41860D5A">
      <w:numFmt w:val="bullet"/>
      <w:lvlText w:val="-"/>
      <w:lvlJc w:val="left"/>
      <w:pPr>
        <w:ind w:left="1068" w:hanging="360"/>
      </w:pPr>
      <w:rPr>
        <w:rFonts w:ascii="Arial" w:eastAsiaTheme="minorHAns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58337386"/>
    <w:multiLevelType w:val="hybridMultilevel"/>
    <w:tmpl w:val="720A5F12"/>
    <w:lvl w:ilvl="0" w:tplc="040C000B">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3" w15:restartNumberingAfterBreak="0">
    <w:nsid w:val="5A780522"/>
    <w:multiLevelType w:val="hybridMultilevel"/>
    <w:tmpl w:val="43267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8C6623"/>
    <w:multiLevelType w:val="hybridMultilevel"/>
    <w:tmpl w:val="218C38C8"/>
    <w:lvl w:ilvl="0" w:tplc="41860D5A">
      <w:numFmt w:val="bullet"/>
      <w:lvlText w:val="-"/>
      <w:lvlJc w:val="left"/>
      <w:pPr>
        <w:ind w:left="1776" w:hanging="360"/>
      </w:pPr>
      <w:rPr>
        <w:rFonts w:ascii="Arial" w:eastAsiaTheme="minorHAnsi"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65BA670B"/>
    <w:multiLevelType w:val="multilevel"/>
    <w:tmpl w:val="AE1A91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10F16F9"/>
    <w:multiLevelType w:val="hybridMultilevel"/>
    <w:tmpl w:val="7DEC3FDA"/>
    <w:lvl w:ilvl="0" w:tplc="FF5E5E30">
      <w:start w:val="1"/>
      <w:numFmt w:val="decimal"/>
      <w:lvlText w:val="%1)"/>
      <w:lvlJc w:val="left"/>
      <w:pPr>
        <w:ind w:left="1068" w:hanging="360"/>
      </w:pPr>
      <w:rPr>
        <w:rFonts w:ascii="Arial" w:eastAsiaTheme="minorHAnsi"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1"/>
  </w:num>
  <w:num w:numId="4">
    <w:abstractNumId w:val="26"/>
  </w:num>
  <w:num w:numId="5">
    <w:abstractNumId w:val="9"/>
  </w:num>
  <w:num w:numId="6">
    <w:abstractNumId w:val="13"/>
  </w:num>
  <w:num w:numId="7">
    <w:abstractNumId w:val="15"/>
  </w:num>
  <w:num w:numId="8">
    <w:abstractNumId w:val="22"/>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num>
  <w:num w:numId="17">
    <w:abstractNumId w:val="14"/>
  </w:num>
  <w:num w:numId="18">
    <w:abstractNumId w:val="1"/>
  </w:num>
  <w:num w:numId="19">
    <w:abstractNumId w:val="18"/>
  </w:num>
  <w:num w:numId="20">
    <w:abstractNumId w:val="24"/>
  </w:num>
  <w:num w:numId="21">
    <w:abstractNumId w:val="19"/>
  </w:num>
  <w:num w:numId="22">
    <w:abstractNumId w:val="3"/>
  </w:num>
  <w:num w:numId="23">
    <w:abstractNumId w:val="2"/>
  </w:num>
  <w:num w:numId="24">
    <w:abstractNumId w:val="16"/>
  </w:num>
  <w:num w:numId="25">
    <w:abstractNumId w:val="7"/>
  </w:num>
  <w:num w:numId="26">
    <w:abstractNumId w:val="6"/>
  </w:num>
  <w:num w:numId="27">
    <w:abstractNumId w:val="17"/>
  </w:num>
  <w:num w:numId="28">
    <w:abstractNumId w:val="12"/>
  </w:num>
  <w:num w:numId="29">
    <w:abstractNumId w:val="5"/>
  </w:num>
  <w:num w:numId="30">
    <w:abstractNumId w:val="11"/>
  </w:num>
  <w:num w:numId="31">
    <w:abstractNumId w:val="4"/>
  </w:num>
  <w:num w:numId="32">
    <w:abstractNumId w:val="23"/>
  </w:num>
  <w:num w:numId="33">
    <w:abstractNumId w:val="8"/>
  </w:num>
  <w:num w:numId="3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90"/>
    <w:rsid w:val="00004AD5"/>
    <w:rsid w:val="00005F13"/>
    <w:rsid w:val="00006870"/>
    <w:rsid w:val="00011DC5"/>
    <w:rsid w:val="00013CCA"/>
    <w:rsid w:val="00015304"/>
    <w:rsid w:val="0001642A"/>
    <w:rsid w:val="00016D9C"/>
    <w:rsid w:val="000278A4"/>
    <w:rsid w:val="000305BB"/>
    <w:rsid w:val="000334F2"/>
    <w:rsid w:val="000379DE"/>
    <w:rsid w:val="000432D6"/>
    <w:rsid w:val="000447A5"/>
    <w:rsid w:val="000474EE"/>
    <w:rsid w:val="00056584"/>
    <w:rsid w:val="0005744D"/>
    <w:rsid w:val="00067C19"/>
    <w:rsid w:val="00076181"/>
    <w:rsid w:val="00084496"/>
    <w:rsid w:val="00084EDB"/>
    <w:rsid w:val="000870CC"/>
    <w:rsid w:val="00091B2B"/>
    <w:rsid w:val="000925B8"/>
    <w:rsid w:val="00097508"/>
    <w:rsid w:val="000A2412"/>
    <w:rsid w:val="000B2E05"/>
    <w:rsid w:val="000B3051"/>
    <w:rsid w:val="000B6352"/>
    <w:rsid w:val="000B7B68"/>
    <w:rsid w:val="000C036B"/>
    <w:rsid w:val="000C1F07"/>
    <w:rsid w:val="000C601D"/>
    <w:rsid w:val="000C69C6"/>
    <w:rsid w:val="000C6C5D"/>
    <w:rsid w:val="000D24DC"/>
    <w:rsid w:val="000E5CE2"/>
    <w:rsid w:val="000E5F6E"/>
    <w:rsid w:val="000E7982"/>
    <w:rsid w:val="000F1170"/>
    <w:rsid w:val="000F4311"/>
    <w:rsid w:val="000F572E"/>
    <w:rsid w:val="000F79E6"/>
    <w:rsid w:val="00104D17"/>
    <w:rsid w:val="00111C2B"/>
    <w:rsid w:val="00113DD7"/>
    <w:rsid w:val="00114E65"/>
    <w:rsid w:val="00115B88"/>
    <w:rsid w:val="00115FD1"/>
    <w:rsid w:val="001217E5"/>
    <w:rsid w:val="001218B3"/>
    <w:rsid w:val="00123AC5"/>
    <w:rsid w:val="00127BA2"/>
    <w:rsid w:val="00127EA7"/>
    <w:rsid w:val="0014004C"/>
    <w:rsid w:val="00142D87"/>
    <w:rsid w:val="00146322"/>
    <w:rsid w:val="00146F7B"/>
    <w:rsid w:val="00150D42"/>
    <w:rsid w:val="001530F1"/>
    <w:rsid w:val="00157CAB"/>
    <w:rsid w:val="00165D13"/>
    <w:rsid w:val="001720F0"/>
    <w:rsid w:val="00172F3B"/>
    <w:rsid w:val="001848B9"/>
    <w:rsid w:val="0018724F"/>
    <w:rsid w:val="001959AA"/>
    <w:rsid w:val="001A1A86"/>
    <w:rsid w:val="001A2D88"/>
    <w:rsid w:val="001A504D"/>
    <w:rsid w:val="001B2D4B"/>
    <w:rsid w:val="001C16C4"/>
    <w:rsid w:val="001C1B04"/>
    <w:rsid w:val="001C368A"/>
    <w:rsid w:val="001C4888"/>
    <w:rsid w:val="001C5AEA"/>
    <w:rsid w:val="001D1277"/>
    <w:rsid w:val="001D1D8D"/>
    <w:rsid w:val="001D2C7D"/>
    <w:rsid w:val="001E3A63"/>
    <w:rsid w:val="001F5B73"/>
    <w:rsid w:val="00202157"/>
    <w:rsid w:val="00202994"/>
    <w:rsid w:val="00203894"/>
    <w:rsid w:val="002066B9"/>
    <w:rsid w:val="00206C3D"/>
    <w:rsid w:val="00207246"/>
    <w:rsid w:val="00214F32"/>
    <w:rsid w:val="0022124A"/>
    <w:rsid w:val="002315CF"/>
    <w:rsid w:val="00233E8F"/>
    <w:rsid w:val="00235147"/>
    <w:rsid w:val="00240191"/>
    <w:rsid w:val="00244E34"/>
    <w:rsid w:val="00245437"/>
    <w:rsid w:val="00252A58"/>
    <w:rsid w:val="002532E1"/>
    <w:rsid w:val="0026176D"/>
    <w:rsid w:val="00262A11"/>
    <w:rsid w:val="002630E6"/>
    <w:rsid w:val="00263544"/>
    <w:rsid w:val="002662D7"/>
    <w:rsid w:val="00272CF0"/>
    <w:rsid w:val="0027558E"/>
    <w:rsid w:val="00280CC0"/>
    <w:rsid w:val="00280D67"/>
    <w:rsid w:val="0028554E"/>
    <w:rsid w:val="00285EE5"/>
    <w:rsid w:val="00286DED"/>
    <w:rsid w:val="0028702C"/>
    <w:rsid w:val="00293270"/>
    <w:rsid w:val="002A0B84"/>
    <w:rsid w:val="002A53B0"/>
    <w:rsid w:val="002A675E"/>
    <w:rsid w:val="002B0411"/>
    <w:rsid w:val="002B3A6D"/>
    <w:rsid w:val="002B6BC9"/>
    <w:rsid w:val="002C0849"/>
    <w:rsid w:val="002C2447"/>
    <w:rsid w:val="002C45EE"/>
    <w:rsid w:val="002C46A5"/>
    <w:rsid w:val="002D5CF9"/>
    <w:rsid w:val="002D61D1"/>
    <w:rsid w:val="002E281D"/>
    <w:rsid w:val="002E36F4"/>
    <w:rsid w:val="002E3D7A"/>
    <w:rsid w:val="002E697B"/>
    <w:rsid w:val="002E7A4E"/>
    <w:rsid w:val="002F426A"/>
    <w:rsid w:val="002F4C75"/>
    <w:rsid w:val="002F700A"/>
    <w:rsid w:val="002F7991"/>
    <w:rsid w:val="003001C7"/>
    <w:rsid w:val="0030044D"/>
    <w:rsid w:val="00307AA5"/>
    <w:rsid w:val="003201EE"/>
    <w:rsid w:val="00322BA5"/>
    <w:rsid w:val="00322E2B"/>
    <w:rsid w:val="00323211"/>
    <w:rsid w:val="0032354A"/>
    <w:rsid w:val="003235E0"/>
    <w:rsid w:val="0033022C"/>
    <w:rsid w:val="0033676C"/>
    <w:rsid w:val="003374EB"/>
    <w:rsid w:val="003532BE"/>
    <w:rsid w:val="00355628"/>
    <w:rsid w:val="00363904"/>
    <w:rsid w:val="00367F9D"/>
    <w:rsid w:val="00371E60"/>
    <w:rsid w:val="003728CC"/>
    <w:rsid w:val="003755CB"/>
    <w:rsid w:val="003813DF"/>
    <w:rsid w:val="00382076"/>
    <w:rsid w:val="00386F7E"/>
    <w:rsid w:val="0039759B"/>
    <w:rsid w:val="003A2965"/>
    <w:rsid w:val="003A515E"/>
    <w:rsid w:val="003A5EE0"/>
    <w:rsid w:val="003A60FB"/>
    <w:rsid w:val="003A6ED5"/>
    <w:rsid w:val="003B0300"/>
    <w:rsid w:val="003B044E"/>
    <w:rsid w:val="003B2066"/>
    <w:rsid w:val="003B20D4"/>
    <w:rsid w:val="003B33C6"/>
    <w:rsid w:val="003B46B9"/>
    <w:rsid w:val="003B58A7"/>
    <w:rsid w:val="003B7AD4"/>
    <w:rsid w:val="003C2E14"/>
    <w:rsid w:val="003C3E70"/>
    <w:rsid w:val="003C43B3"/>
    <w:rsid w:val="003D4689"/>
    <w:rsid w:val="003D51F3"/>
    <w:rsid w:val="003D694E"/>
    <w:rsid w:val="003E0B71"/>
    <w:rsid w:val="003E18B2"/>
    <w:rsid w:val="003E329D"/>
    <w:rsid w:val="003E4717"/>
    <w:rsid w:val="003E6D05"/>
    <w:rsid w:val="003F0090"/>
    <w:rsid w:val="003F2632"/>
    <w:rsid w:val="003F323D"/>
    <w:rsid w:val="003F4BB6"/>
    <w:rsid w:val="003F7443"/>
    <w:rsid w:val="003F7A7B"/>
    <w:rsid w:val="004051D3"/>
    <w:rsid w:val="00411175"/>
    <w:rsid w:val="00411BEA"/>
    <w:rsid w:val="00411EDF"/>
    <w:rsid w:val="004163E0"/>
    <w:rsid w:val="00416EC8"/>
    <w:rsid w:val="0042108C"/>
    <w:rsid w:val="00432F28"/>
    <w:rsid w:val="0043319C"/>
    <w:rsid w:val="004423C8"/>
    <w:rsid w:val="004448E6"/>
    <w:rsid w:val="0044776C"/>
    <w:rsid w:val="0045734F"/>
    <w:rsid w:val="004610CC"/>
    <w:rsid w:val="004640AC"/>
    <w:rsid w:val="00466126"/>
    <w:rsid w:val="00471027"/>
    <w:rsid w:val="00477F37"/>
    <w:rsid w:val="00480F12"/>
    <w:rsid w:val="00482D8F"/>
    <w:rsid w:val="004831EC"/>
    <w:rsid w:val="00483923"/>
    <w:rsid w:val="00485667"/>
    <w:rsid w:val="00490003"/>
    <w:rsid w:val="00493CA4"/>
    <w:rsid w:val="0049637B"/>
    <w:rsid w:val="004A0BE9"/>
    <w:rsid w:val="004A1D0D"/>
    <w:rsid w:val="004A1FFB"/>
    <w:rsid w:val="004B0475"/>
    <w:rsid w:val="004B195C"/>
    <w:rsid w:val="004B4D13"/>
    <w:rsid w:val="004B70B6"/>
    <w:rsid w:val="004C17D4"/>
    <w:rsid w:val="004C4BC5"/>
    <w:rsid w:val="004C56CC"/>
    <w:rsid w:val="004D7569"/>
    <w:rsid w:val="004D78DE"/>
    <w:rsid w:val="004E34E3"/>
    <w:rsid w:val="004E6FE9"/>
    <w:rsid w:val="004E793D"/>
    <w:rsid w:val="004F2F18"/>
    <w:rsid w:val="004F353B"/>
    <w:rsid w:val="005029DF"/>
    <w:rsid w:val="00504717"/>
    <w:rsid w:val="00507132"/>
    <w:rsid w:val="00507FDF"/>
    <w:rsid w:val="00530E70"/>
    <w:rsid w:val="00533FE8"/>
    <w:rsid w:val="005355A3"/>
    <w:rsid w:val="00543485"/>
    <w:rsid w:val="00547A4B"/>
    <w:rsid w:val="00557DBF"/>
    <w:rsid w:val="00564160"/>
    <w:rsid w:val="00566044"/>
    <w:rsid w:val="005672D5"/>
    <w:rsid w:val="00573499"/>
    <w:rsid w:val="005809F0"/>
    <w:rsid w:val="00582699"/>
    <w:rsid w:val="00587B20"/>
    <w:rsid w:val="00587E0B"/>
    <w:rsid w:val="0059459B"/>
    <w:rsid w:val="00596446"/>
    <w:rsid w:val="005A3079"/>
    <w:rsid w:val="005A339D"/>
    <w:rsid w:val="005A6E83"/>
    <w:rsid w:val="005A71CD"/>
    <w:rsid w:val="005B0D0E"/>
    <w:rsid w:val="005B13A1"/>
    <w:rsid w:val="005B3C3B"/>
    <w:rsid w:val="005B61A0"/>
    <w:rsid w:val="005C0720"/>
    <w:rsid w:val="005C1566"/>
    <w:rsid w:val="005C1AA0"/>
    <w:rsid w:val="005C2E7B"/>
    <w:rsid w:val="005C31C1"/>
    <w:rsid w:val="005C3401"/>
    <w:rsid w:val="005E181C"/>
    <w:rsid w:val="005E238B"/>
    <w:rsid w:val="005E3961"/>
    <w:rsid w:val="005E53B0"/>
    <w:rsid w:val="005E55C1"/>
    <w:rsid w:val="005E6205"/>
    <w:rsid w:val="005E6E14"/>
    <w:rsid w:val="005F0289"/>
    <w:rsid w:val="005F08B6"/>
    <w:rsid w:val="005F2ED8"/>
    <w:rsid w:val="005F668B"/>
    <w:rsid w:val="005F7E01"/>
    <w:rsid w:val="00601583"/>
    <w:rsid w:val="00602E2C"/>
    <w:rsid w:val="00604BD8"/>
    <w:rsid w:val="00605A02"/>
    <w:rsid w:val="00614AF6"/>
    <w:rsid w:val="0062666C"/>
    <w:rsid w:val="00627A38"/>
    <w:rsid w:val="0063037E"/>
    <w:rsid w:val="006349F7"/>
    <w:rsid w:val="00636A56"/>
    <w:rsid w:val="00640190"/>
    <w:rsid w:val="0064381B"/>
    <w:rsid w:val="00647B86"/>
    <w:rsid w:val="00652C2D"/>
    <w:rsid w:val="00656697"/>
    <w:rsid w:val="00662B3D"/>
    <w:rsid w:val="00662DE8"/>
    <w:rsid w:val="00670E80"/>
    <w:rsid w:val="006711D6"/>
    <w:rsid w:val="006736CD"/>
    <w:rsid w:val="00677DE6"/>
    <w:rsid w:val="00677F12"/>
    <w:rsid w:val="006809B2"/>
    <w:rsid w:val="00694599"/>
    <w:rsid w:val="006A1D38"/>
    <w:rsid w:val="006A2011"/>
    <w:rsid w:val="006A2717"/>
    <w:rsid w:val="006A3B96"/>
    <w:rsid w:val="006A6762"/>
    <w:rsid w:val="006B3B03"/>
    <w:rsid w:val="006B4B90"/>
    <w:rsid w:val="006B6378"/>
    <w:rsid w:val="006B7CA9"/>
    <w:rsid w:val="006C0666"/>
    <w:rsid w:val="006C1193"/>
    <w:rsid w:val="006C1D03"/>
    <w:rsid w:val="006C4755"/>
    <w:rsid w:val="006C5BF7"/>
    <w:rsid w:val="006C616A"/>
    <w:rsid w:val="006D02B6"/>
    <w:rsid w:val="006D1BCC"/>
    <w:rsid w:val="006D5ECE"/>
    <w:rsid w:val="006E03D0"/>
    <w:rsid w:val="006E352B"/>
    <w:rsid w:val="006E5283"/>
    <w:rsid w:val="006E6590"/>
    <w:rsid w:val="006F6ECB"/>
    <w:rsid w:val="00704666"/>
    <w:rsid w:val="007048BC"/>
    <w:rsid w:val="00705E90"/>
    <w:rsid w:val="007066B2"/>
    <w:rsid w:val="00713A9C"/>
    <w:rsid w:val="0073452C"/>
    <w:rsid w:val="00737EF6"/>
    <w:rsid w:val="00740171"/>
    <w:rsid w:val="00740D11"/>
    <w:rsid w:val="007506CB"/>
    <w:rsid w:val="00756A91"/>
    <w:rsid w:val="00766C3F"/>
    <w:rsid w:val="007707BF"/>
    <w:rsid w:val="00772C8C"/>
    <w:rsid w:val="0077565F"/>
    <w:rsid w:val="00776394"/>
    <w:rsid w:val="0078010A"/>
    <w:rsid w:val="0078512D"/>
    <w:rsid w:val="00787D51"/>
    <w:rsid w:val="00792200"/>
    <w:rsid w:val="007929A7"/>
    <w:rsid w:val="00793EA1"/>
    <w:rsid w:val="007A7C32"/>
    <w:rsid w:val="007B00B0"/>
    <w:rsid w:val="007B3715"/>
    <w:rsid w:val="007B752C"/>
    <w:rsid w:val="007C2046"/>
    <w:rsid w:val="007C2ABB"/>
    <w:rsid w:val="007C42D0"/>
    <w:rsid w:val="007D2276"/>
    <w:rsid w:val="007E193D"/>
    <w:rsid w:val="007E2909"/>
    <w:rsid w:val="007F7B1F"/>
    <w:rsid w:val="008009CC"/>
    <w:rsid w:val="0080180C"/>
    <w:rsid w:val="00806D46"/>
    <w:rsid w:val="008112AC"/>
    <w:rsid w:val="00815881"/>
    <w:rsid w:val="0081733F"/>
    <w:rsid w:val="00831FAB"/>
    <w:rsid w:val="0083515D"/>
    <w:rsid w:val="00843469"/>
    <w:rsid w:val="008446B5"/>
    <w:rsid w:val="008463EF"/>
    <w:rsid w:val="0084701E"/>
    <w:rsid w:val="00850BE6"/>
    <w:rsid w:val="0085381A"/>
    <w:rsid w:val="008539EE"/>
    <w:rsid w:val="008604A4"/>
    <w:rsid w:val="0086105E"/>
    <w:rsid w:val="00863E2F"/>
    <w:rsid w:val="00870376"/>
    <w:rsid w:val="00871ED8"/>
    <w:rsid w:val="0087271F"/>
    <w:rsid w:val="00874593"/>
    <w:rsid w:val="00877D36"/>
    <w:rsid w:val="00885003"/>
    <w:rsid w:val="00886ECE"/>
    <w:rsid w:val="00887519"/>
    <w:rsid w:val="0089168F"/>
    <w:rsid w:val="00895359"/>
    <w:rsid w:val="008953E7"/>
    <w:rsid w:val="00896855"/>
    <w:rsid w:val="00896C1B"/>
    <w:rsid w:val="008A22DE"/>
    <w:rsid w:val="008B317B"/>
    <w:rsid w:val="008B36F9"/>
    <w:rsid w:val="008B4FF6"/>
    <w:rsid w:val="008B690F"/>
    <w:rsid w:val="008B7AFC"/>
    <w:rsid w:val="008C4384"/>
    <w:rsid w:val="008D2198"/>
    <w:rsid w:val="008D26DB"/>
    <w:rsid w:val="008D2FD3"/>
    <w:rsid w:val="008D498B"/>
    <w:rsid w:val="008D4FB7"/>
    <w:rsid w:val="008D62B3"/>
    <w:rsid w:val="008D7ADB"/>
    <w:rsid w:val="008E05A2"/>
    <w:rsid w:val="008E2054"/>
    <w:rsid w:val="008F11F4"/>
    <w:rsid w:val="008F7DFE"/>
    <w:rsid w:val="0091240F"/>
    <w:rsid w:val="009211CC"/>
    <w:rsid w:val="00922C00"/>
    <w:rsid w:val="00925EB3"/>
    <w:rsid w:val="00926043"/>
    <w:rsid w:val="00926E7F"/>
    <w:rsid w:val="0093219A"/>
    <w:rsid w:val="00933D49"/>
    <w:rsid w:val="009347AF"/>
    <w:rsid w:val="00937E19"/>
    <w:rsid w:val="00940F4D"/>
    <w:rsid w:val="009417A1"/>
    <w:rsid w:val="009418A9"/>
    <w:rsid w:val="009421F4"/>
    <w:rsid w:val="009442B7"/>
    <w:rsid w:val="0094565C"/>
    <w:rsid w:val="00953068"/>
    <w:rsid w:val="00953E35"/>
    <w:rsid w:val="00960034"/>
    <w:rsid w:val="009640D6"/>
    <w:rsid w:val="00970EC7"/>
    <w:rsid w:val="00974AAA"/>
    <w:rsid w:val="00977CF2"/>
    <w:rsid w:val="009856C0"/>
    <w:rsid w:val="009875ED"/>
    <w:rsid w:val="00991C49"/>
    <w:rsid w:val="00992165"/>
    <w:rsid w:val="009A5D8B"/>
    <w:rsid w:val="009B0417"/>
    <w:rsid w:val="009B243F"/>
    <w:rsid w:val="009B3B61"/>
    <w:rsid w:val="009B508D"/>
    <w:rsid w:val="009E19E2"/>
    <w:rsid w:val="009E755A"/>
    <w:rsid w:val="009F042B"/>
    <w:rsid w:val="009F0C5D"/>
    <w:rsid w:val="009F0CEB"/>
    <w:rsid w:val="009F1329"/>
    <w:rsid w:val="009F3809"/>
    <w:rsid w:val="00A0269F"/>
    <w:rsid w:val="00A05D55"/>
    <w:rsid w:val="00A05E7B"/>
    <w:rsid w:val="00A136DB"/>
    <w:rsid w:val="00A147C1"/>
    <w:rsid w:val="00A20BB3"/>
    <w:rsid w:val="00A21A92"/>
    <w:rsid w:val="00A249EF"/>
    <w:rsid w:val="00A34465"/>
    <w:rsid w:val="00A401B9"/>
    <w:rsid w:val="00A419FB"/>
    <w:rsid w:val="00A42A8F"/>
    <w:rsid w:val="00A42F92"/>
    <w:rsid w:val="00A46A85"/>
    <w:rsid w:val="00A56A5F"/>
    <w:rsid w:val="00A57B22"/>
    <w:rsid w:val="00A57BC4"/>
    <w:rsid w:val="00A60BB4"/>
    <w:rsid w:val="00A6257F"/>
    <w:rsid w:val="00A706BA"/>
    <w:rsid w:val="00A70D65"/>
    <w:rsid w:val="00A73E32"/>
    <w:rsid w:val="00A776F1"/>
    <w:rsid w:val="00A8244E"/>
    <w:rsid w:val="00A838F4"/>
    <w:rsid w:val="00A8421F"/>
    <w:rsid w:val="00A84310"/>
    <w:rsid w:val="00A96DCD"/>
    <w:rsid w:val="00AA1A8D"/>
    <w:rsid w:val="00AB1099"/>
    <w:rsid w:val="00AB1B51"/>
    <w:rsid w:val="00AB5183"/>
    <w:rsid w:val="00AB7D1B"/>
    <w:rsid w:val="00AC126B"/>
    <w:rsid w:val="00AC21E0"/>
    <w:rsid w:val="00AC5B52"/>
    <w:rsid w:val="00AD1AF8"/>
    <w:rsid w:val="00AD5B8C"/>
    <w:rsid w:val="00AE15F7"/>
    <w:rsid w:val="00AF3513"/>
    <w:rsid w:val="00AF77DD"/>
    <w:rsid w:val="00B024DF"/>
    <w:rsid w:val="00B13B6E"/>
    <w:rsid w:val="00B16886"/>
    <w:rsid w:val="00B2010B"/>
    <w:rsid w:val="00B237C5"/>
    <w:rsid w:val="00B3193F"/>
    <w:rsid w:val="00B3283E"/>
    <w:rsid w:val="00B40BBC"/>
    <w:rsid w:val="00B41913"/>
    <w:rsid w:val="00B4229B"/>
    <w:rsid w:val="00B47814"/>
    <w:rsid w:val="00B56C09"/>
    <w:rsid w:val="00B67FA2"/>
    <w:rsid w:val="00B74182"/>
    <w:rsid w:val="00B745B4"/>
    <w:rsid w:val="00B83A46"/>
    <w:rsid w:val="00B86772"/>
    <w:rsid w:val="00B922C2"/>
    <w:rsid w:val="00B93F3F"/>
    <w:rsid w:val="00B946B5"/>
    <w:rsid w:val="00B95CDA"/>
    <w:rsid w:val="00BA68A7"/>
    <w:rsid w:val="00BB4289"/>
    <w:rsid w:val="00BB6707"/>
    <w:rsid w:val="00BC10E8"/>
    <w:rsid w:val="00BC18AD"/>
    <w:rsid w:val="00BD0487"/>
    <w:rsid w:val="00BD1F85"/>
    <w:rsid w:val="00BD5C13"/>
    <w:rsid w:val="00BD76E6"/>
    <w:rsid w:val="00BE155A"/>
    <w:rsid w:val="00BE16C7"/>
    <w:rsid w:val="00BE216B"/>
    <w:rsid w:val="00BE3875"/>
    <w:rsid w:val="00BE481C"/>
    <w:rsid w:val="00BE5E64"/>
    <w:rsid w:val="00BE7945"/>
    <w:rsid w:val="00BE7E22"/>
    <w:rsid w:val="00BF0E9A"/>
    <w:rsid w:val="00C01703"/>
    <w:rsid w:val="00C01AC1"/>
    <w:rsid w:val="00C0328E"/>
    <w:rsid w:val="00C033A0"/>
    <w:rsid w:val="00C061CC"/>
    <w:rsid w:val="00C07FF3"/>
    <w:rsid w:val="00C1605C"/>
    <w:rsid w:val="00C16FF0"/>
    <w:rsid w:val="00C22B9F"/>
    <w:rsid w:val="00C249D0"/>
    <w:rsid w:val="00C26FC7"/>
    <w:rsid w:val="00C30E45"/>
    <w:rsid w:val="00C32157"/>
    <w:rsid w:val="00C37157"/>
    <w:rsid w:val="00C405BB"/>
    <w:rsid w:val="00C41EBA"/>
    <w:rsid w:val="00C43568"/>
    <w:rsid w:val="00C44356"/>
    <w:rsid w:val="00C44C5B"/>
    <w:rsid w:val="00C464E8"/>
    <w:rsid w:val="00C46C0C"/>
    <w:rsid w:val="00C5221F"/>
    <w:rsid w:val="00C5260E"/>
    <w:rsid w:val="00C64669"/>
    <w:rsid w:val="00C716D0"/>
    <w:rsid w:val="00C8094E"/>
    <w:rsid w:val="00C85E86"/>
    <w:rsid w:val="00C87167"/>
    <w:rsid w:val="00C902DE"/>
    <w:rsid w:val="00CC106D"/>
    <w:rsid w:val="00CC746D"/>
    <w:rsid w:val="00CD4245"/>
    <w:rsid w:val="00CD61C4"/>
    <w:rsid w:val="00CD7E66"/>
    <w:rsid w:val="00CE22A2"/>
    <w:rsid w:val="00CE422D"/>
    <w:rsid w:val="00CE4E9F"/>
    <w:rsid w:val="00CF2CAC"/>
    <w:rsid w:val="00CF3830"/>
    <w:rsid w:val="00CF472D"/>
    <w:rsid w:val="00CF48B6"/>
    <w:rsid w:val="00CF52A6"/>
    <w:rsid w:val="00CF5CFA"/>
    <w:rsid w:val="00CF79F8"/>
    <w:rsid w:val="00D031D4"/>
    <w:rsid w:val="00D067CC"/>
    <w:rsid w:val="00D12929"/>
    <w:rsid w:val="00D22CE9"/>
    <w:rsid w:val="00D251A2"/>
    <w:rsid w:val="00D25FD8"/>
    <w:rsid w:val="00D27967"/>
    <w:rsid w:val="00D36153"/>
    <w:rsid w:val="00D43E76"/>
    <w:rsid w:val="00D44724"/>
    <w:rsid w:val="00D515E4"/>
    <w:rsid w:val="00D51B6A"/>
    <w:rsid w:val="00D522DD"/>
    <w:rsid w:val="00D528EE"/>
    <w:rsid w:val="00D621C7"/>
    <w:rsid w:val="00D6485F"/>
    <w:rsid w:val="00D71DEE"/>
    <w:rsid w:val="00D80543"/>
    <w:rsid w:val="00D81FC4"/>
    <w:rsid w:val="00D83275"/>
    <w:rsid w:val="00D85454"/>
    <w:rsid w:val="00D92399"/>
    <w:rsid w:val="00DA062B"/>
    <w:rsid w:val="00DA0ACD"/>
    <w:rsid w:val="00DA5047"/>
    <w:rsid w:val="00DA7654"/>
    <w:rsid w:val="00DB1C83"/>
    <w:rsid w:val="00DB1ED4"/>
    <w:rsid w:val="00DB2D8D"/>
    <w:rsid w:val="00DB46F5"/>
    <w:rsid w:val="00DC7DB9"/>
    <w:rsid w:val="00DD122A"/>
    <w:rsid w:val="00DD3D44"/>
    <w:rsid w:val="00DE07DB"/>
    <w:rsid w:val="00DE1104"/>
    <w:rsid w:val="00DE1B25"/>
    <w:rsid w:val="00DE52ED"/>
    <w:rsid w:val="00DF11C9"/>
    <w:rsid w:val="00DF5FCB"/>
    <w:rsid w:val="00DF668B"/>
    <w:rsid w:val="00DF6981"/>
    <w:rsid w:val="00E06888"/>
    <w:rsid w:val="00E076BC"/>
    <w:rsid w:val="00E116EB"/>
    <w:rsid w:val="00E15FB3"/>
    <w:rsid w:val="00E16B47"/>
    <w:rsid w:val="00E17471"/>
    <w:rsid w:val="00E23B5B"/>
    <w:rsid w:val="00E23D3E"/>
    <w:rsid w:val="00E249D5"/>
    <w:rsid w:val="00E27C2C"/>
    <w:rsid w:val="00E30722"/>
    <w:rsid w:val="00E32A9D"/>
    <w:rsid w:val="00E345C3"/>
    <w:rsid w:val="00E377D0"/>
    <w:rsid w:val="00E37AB1"/>
    <w:rsid w:val="00E41D23"/>
    <w:rsid w:val="00E43F59"/>
    <w:rsid w:val="00E44EF3"/>
    <w:rsid w:val="00E516C7"/>
    <w:rsid w:val="00E51C84"/>
    <w:rsid w:val="00E53959"/>
    <w:rsid w:val="00E55B7A"/>
    <w:rsid w:val="00E6742A"/>
    <w:rsid w:val="00E70A33"/>
    <w:rsid w:val="00E70AE3"/>
    <w:rsid w:val="00E71D89"/>
    <w:rsid w:val="00E726BD"/>
    <w:rsid w:val="00E74F63"/>
    <w:rsid w:val="00E84EAA"/>
    <w:rsid w:val="00E97EDE"/>
    <w:rsid w:val="00EA2114"/>
    <w:rsid w:val="00EA29F6"/>
    <w:rsid w:val="00EA593F"/>
    <w:rsid w:val="00EA5ACB"/>
    <w:rsid w:val="00EA78EB"/>
    <w:rsid w:val="00EB17CE"/>
    <w:rsid w:val="00EB1D85"/>
    <w:rsid w:val="00EB2698"/>
    <w:rsid w:val="00EB6076"/>
    <w:rsid w:val="00EB643A"/>
    <w:rsid w:val="00EB664A"/>
    <w:rsid w:val="00EC1502"/>
    <w:rsid w:val="00EC4737"/>
    <w:rsid w:val="00EC5B19"/>
    <w:rsid w:val="00ED06D0"/>
    <w:rsid w:val="00ED5FDF"/>
    <w:rsid w:val="00EE3CE5"/>
    <w:rsid w:val="00EE6986"/>
    <w:rsid w:val="00EE7667"/>
    <w:rsid w:val="00EF0831"/>
    <w:rsid w:val="00EF2C44"/>
    <w:rsid w:val="00EF4998"/>
    <w:rsid w:val="00EF7378"/>
    <w:rsid w:val="00F04C11"/>
    <w:rsid w:val="00F10EAE"/>
    <w:rsid w:val="00F13FD3"/>
    <w:rsid w:val="00F154AD"/>
    <w:rsid w:val="00F160A2"/>
    <w:rsid w:val="00F20172"/>
    <w:rsid w:val="00F326C6"/>
    <w:rsid w:val="00F33144"/>
    <w:rsid w:val="00F439F6"/>
    <w:rsid w:val="00F4482B"/>
    <w:rsid w:val="00F456E5"/>
    <w:rsid w:val="00F512D8"/>
    <w:rsid w:val="00F54E23"/>
    <w:rsid w:val="00F5622B"/>
    <w:rsid w:val="00F5709B"/>
    <w:rsid w:val="00F57E98"/>
    <w:rsid w:val="00F61012"/>
    <w:rsid w:val="00F627C7"/>
    <w:rsid w:val="00F63ACA"/>
    <w:rsid w:val="00F71069"/>
    <w:rsid w:val="00F71B54"/>
    <w:rsid w:val="00F75350"/>
    <w:rsid w:val="00F756D2"/>
    <w:rsid w:val="00F77E44"/>
    <w:rsid w:val="00F8244A"/>
    <w:rsid w:val="00F84C68"/>
    <w:rsid w:val="00F91186"/>
    <w:rsid w:val="00F97BA7"/>
    <w:rsid w:val="00FA0A65"/>
    <w:rsid w:val="00FA4BA5"/>
    <w:rsid w:val="00FA5109"/>
    <w:rsid w:val="00FA7E57"/>
    <w:rsid w:val="00FB210D"/>
    <w:rsid w:val="00FC55E4"/>
    <w:rsid w:val="00FD076E"/>
    <w:rsid w:val="00FD12EB"/>
    <w:rsid w:val="00FD15F0"/>
    <w:rsid w:val="00FD5561"/>
    <w:rsid w:val="00FD5A7D"/>
    <w:rsid w:val="00FD7C7A"/>
    <w:rsid w:val="00FE4E36"/>
    <w:rsid w:val="00FE67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66CB2D"/>
  <w15:chartTrackingRefBased/>
  <w15:docId w15:val="{9ABD0B9F-1263-4978-8518-A6059AF5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6772"/>
  </w:style>
  <w:style w:type="paragraph" w:styleId="Titre1">
    <w:name w:val="heading 1"/>
    <w:basedOn w:val="texte"/>
    <w:next w:val="texte"/>
    <w:link w:val="Titre1Car"/>
    <w:autoRedefine/>
    <w:uiPriority w:val="9"/>
    <w:qFormat/>
    <w:rsid w:val="00A05E7B"/>
    <w:pPr>
      <w:keepNext/>
      <w:keepLines/>
      <w:spacing w:before="240" w:after="240"/>
      <w:outlineLvl w:val="0"/>
    </w:pPr>
    <w:rPr>
      <w:rFonts w:eastAsiaTheme="majorEastAsia" w:cstheme="majorBidi"/>
      <w:b/>
      <w:smallCaps/>
      <w:color w:val="C00000"/>
      <w:sz w:val="24"/>
      <w:szCs w:val="32"/>
      <w:shd w:val="clear" w:color="auto" w:fill="auto"/>
    </w:rPr>
  </w:style>
  <w:style w:type="paragraph" w:styleId="Titre2">
    <w:name w:val="heading 2"/>
    <w:basedOn w:val="texte"/>
    <w:next w:val="texte"/>
    <w:link w:val="Titre2Car"/>
    <w:autoRedefine/>
    <w:uiPriority w:val="9"/>
    <w:unhideWhenUsed/>
    <w:qFormat/>
    <w:rsid w:val="00286DED"/>
    <w:pPr>
      <w:keepNext/>
      <w:spacing w:before="100" w:beforeAutospacing="1" w:after="240"/>
      <w:outlineLvl w:val="1"/>
    </w:pPr>
    <w:rPr>
      <w:rFonts w:eastAsiaTheme="majorEastAsia" w:cstheme="majorBidi"/>
      <w:b/>
      <w:color w:val="C00000"/>
      <w:sz w:val="24"/>
      <w:szCs w:val="32"/>
      <w:shd w:val="clear" w:color="auto" w:fill="auto"/>
    </w:rPr>
  </w:style>
  <w:style w:type="paragraph" w:styleId="Titre3">
    <w:name w:val="heading 3"/>
    <w:basedOn w:val="texte"/>
    <w:next w:val="texte"/>
    <w:link w:val="Titre3Car"/>
    <w:autoRedefine/>
    <w:uiPriority w:val="9"/>
    <w:unhideWhenUsed/>
    <w:qFormat/>
    <w:rsid w:val="009F0C5D"/>
    <w:pPr>
      <w:keepNext/>
      <w:keepLines/>
      <w:numPr>
        <w:ilvl w:val="2"/>
        <w:numId w:val="1"/>
      </w:numPr>
      <w:suppressAutoHyphens/>
      <w:ind w:left="426"/>
      <w:outlineLvl w:val="2"/>
    </w:pPr>
    <w:rPr>
      <w:rFonts w:asciiTheme="majorHAnsi" w:eastAsiaTheme="majorEastAsia" w:hAnsiTheme="majorHAnsi" w:cstheme="majorBidi"/>
      <w:b/>
      <w:color w:val="FF0000"/>
      <w:spacing w:val="20"/>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0090"/>
    <w:pPr>
      <w:tabs>
        <w:tab w:val="center" w:pos="4536"/>
        <w:tab w:val="right" w:pos="9072"/>
      </w:tabs>
      <w:spacing w:after="0" w:line="240" w:lineRule="auto"/>
    </w:pPr>
  </w:style>
  <w:style w:type="character" w:customStyle="1" w:styleId="En-tteCar">
    <w:name w:val="En-tête Car"/>
    <w:basedOn w:val="Policepardfaut"/>
    <w:link w:val="En-tte"/>
    <w:uiPriority w:val="99"/>
    <w:rsid w:val="003F0090"/>
  </w:style>
  <w:style w:type="paragraph" w:styleId="Pieddepage">
    <w:name w:val="footer"/>
    <w:basedOn w:val="Normal"/>
    <w:link w:val="PieddepageCar"/>
    <w:uiPriority w:val="99"/>
    <w:unhideWhenUsed/>
    <w:rsid w:val="003F00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0090"/>
  </w:style>
  <w:style w:type="paragraph" w:customStyle="1" w:styleId="en-tte0">
    <w:name w:val="en-tête"/>
    <w:basedOn w:val="En-tte"/>
    <w:link w:val="en-tteCar0"/>
    <w:autoRedefine/>
    <w:qFormat/>
    <w:rsid w:val="00F75350"/>
    <w:pPr>
      <w:pBdr>
        <w:bottom w:val="single" w:sz="6" w:space="1" w:color="C00000"/>
      </w:pBdr>
      <w:spacing w:line="360" w:lineRule="auto"/>
      <w:jc w:val="right"/>
    </w:pPr>
    <w:rPr>
      <w:rFonts w:ascii="Arial" w:hAnsi="Arial"/>
      <w:smallCaps/>
      <w:color w:val="404040" w:themeColor="text1" w:themeTint="BF"/>
      <w:sz w:val="20"/>
    </w:rPr>
  </w:style>
  <w:style w:type="paragraph" w:customStyle="1" w:styleId="piedpage">
    <w:name w:val="pied page"/>
    <w:basedOn w:val="Pieddepage"/>
    <w:link w:val="piedpageCar"/>
    <w:autoRedefine/>
    <w:qFormat/>
    <w:rsid w:val="008D4FB7"/>
    <w:pPr>
      <w:pBdr>
        <w:top w:val="single" w:sz="6" w:space="6" w:color="C00000"/>
      </w:pBdr>
      <w:spacing w:before="240" w:after="240" w:line="360" w:lineRule="auto"/>
      <w:jc w:val="right"/>
    </w:pPr>
    <w:rPr>
      <w:rFonts w:ascii="Arial" w:hAnsi="Arial"/>
      <w:i/>
      <w:smallCaps/>
      <w:noProof/>
      <w:color w:val="404040" w:themeColor="text1" w:themeTint="BF"/>
      <w:position w:val="-6"/>
      <w:sz w:val="18"/>
    </w:rPr>
  </w:style>
  <w:style w:type="character" w:customStyle="1" w:styleId="en-tteCar0">
    <w:name w:val="en-tête Car"/>
    <w:basedOn w:val="En-tteCar"/>
    <w:link w:val="en-tte0"/>
    <w:rsid w:val="00F75350"/>
    <w:rPr>
      <w:rFonts w:ascii="Arial" w:hAnsi="Arial"/>
      <w:smallCaps/>
      <w:color w:val="404040" w:themeColor="text1" w:themeTint="BF"/>
      <w:sz w:val="20"/>
    </w:rPr>
  </w:style>
  <w:style w:type="paragraph" w:customStyle="1" w:styleId="titre">
    <w:name w:val="titre"/>
    <w:basedOn w:val="Normal"/>
    <w:link w:val="titreCar"/>
    <w:qFormat/>
    <w:rsid w:val="009F0C5D"/>
    <w:rPr>
      <w:rFonts w:ascii="Arial" w:hAnsi="Arial"/>
      <w:smallCaps/>
      <w:color w:val="FF0000"/>
      <w:spacing w:val="20"/>
      <w:sz w:val="24"/>
    </w:rPr>
  </w:style>
  <w:style w:type="character" w:customStyle="1" w:styleId="piedpageCar">
    <w:name w:val="pied page Car"/>
    <w:basedOn w:val="PieddepageCar"/>
    <w:link w:val="piedpage"/>
    <w:rsid w:val="008D4FB7"/>
    <w:rPr>
      <w:rFonts w:ascii="Arial" w:hAnsi="Arial"/>
      <w:i/>
      <w:smallCaps/>
      <w:noProof/>
      <w:color w:val="404040" w:themeColor="text1" w:themeTint="BF"/>
      <w:position w:val="-6"/>
      <w:sz w:val="18"/>
    </w:rPr>
  </w:style>
  <w:style w:type="paragraph" w:customStyle="1" w:styleId="texte">
    <w:name w:val="texte"/>
    <w:basedOn w:val="titre"/>
    <w:link w:val="texteCar"/>
    <w:autoRedefine/>
    <w:qFormat/>
    <w:rsid w:val="00252A58"/>
    <w:pPr>
      <w:tabs>
        <w:tab w:val="left" w:pos="851"/>
      </w:tabs>
      <w:spacing w:line="240" w:lineRule="auto"/>
      <w:jc w:val="both"/>
    </w:pPr>
    <w:rPr>
      <w:rFonts w:cs="Arial"/>
      <w:smallCaps w:val="0"/>
      <w:color w:val="auto"/>
      <w:spacing w:val="0"/>
      <w:sz w:val="18"/>
      <w:szCs w:val="18"/>
      <w:shd w:val="clear" w:color="auto" w:fill="FFFFFF"/>
    </w:rPr>
  </w:style>
  <w:style w:type="character" w:customStyle="1" w:styleId="titreCar">
    <w:name w:val="titre Car"/>
    <w:basedOn w:val="Policepardfaut"/>
    <w:link w:val="titre"/>
    <w:rsid w:val="009F0C5D"/>
    <w:rPr>
      <w:rFonts w:ascii="Arial" w:hAnsi="Arial"/>
      <w:smallCaps/>
      <w:color w:val="FF0000"/>
      <w:spacing w:val="20"/>
      <w:sz w:val="24"/>
    </w:rPr>
  </w:style>
  <w:style w:type="character" w:customStyle="1" w:styleId="Titre1Car">
    <w:name w:val="Titre 1 Car"/>
    <w:basedOn w:val="Policepardfaut"/>
    <w:link w:val="Titre1"/>
    <w:uiPriority w:val="9"/>
    <w:rsid w:val="00A05E7B"/>
    <w:rPr>
      <w:rFonts w:ascii="Arial" w:eastAsiaTheme="majorEastAsia" w:hAnsi="Arial" w:cstheme="majorBidi"/>
      <w:b/>
      <w:smallCaps/>
      <w:color w:val="C00000"/>
      <w:sz w:val="24"/>
      <w:szCs w:val="32"/>
    </w:rPr>
  </w:style>
  <w:style w:type="character" w:customStyle="1" w:styleId="texteCar">
    <w:name w:val="texte Car"/>
    <w:basedOn w:val="titreCar"/>
    <w:link w:val="texte"/>
    <w:rsid w:val="00252A58"/>
    <w:rPr>
      <w:rFonts w:ascii="Arial" w:hAnsi="Arial" w:cs="Arial"/>
      <w:smallCaps w:val="0"/>
      <w:color w:val="FF0000"/>
      <w:spacing w:val="20"/>
      <w:sz w:val="18"/>
      <w:szCs w:val="18"/>
    </w:rPr>
  </w:style>
  <w:style w:type="character" w:customStyle="1" w:styleId="Titre2Car">
    <w:name w:val="Titre 2 Car"/>
    <w:basedOn w:val="Policepardfaut"/>
    <w:link w:val="Titre2"/>
    <w:uiPriority w:val="9"/>
    <w:rsid w:val="00286DED"/>
    <w:rPr>
      <w:rFonts w:ascii="Arial" w:eastAsiaTheme="majorEastAsia" w:hAnsi="Arial" w:cstheme="majorBidi"/>
      <w:b/>
      <w:color w:val="C00000"/>
      <w:sz w:val="24"/>
      <w:szCs w:val="32"/>
    </w:rPr>
  </w:style>
  <w:style w:type="character" w:customStyle="1" w:styleId="Titre3Car">
    <w:name w:val="Titre 3 Car"/>
    <w:basedOn w:val="Policepardfaut"/>
    <w:link w:val="Titre3"/>
    <w:uiPriority w:val="9"/>
    <w:rsid w:val="009F0C5D"/>
    <w:rPr>
      <w:rFonts w:asciiTheme="majorHAnsi" w:eastAsiaTheme="majorEastAsia" w:hAnsiTheme="majorHAnsi" w:cstheme="majorBidi"/>
      <w:b/>
      <w:color w:val="FF0000"/>
      <w:spacing w:val="20"/>
      <w:szCs w:val="24"/>
    </w:rPr>
  </w:style>
  <w:style w:type="paragraph" w:styleId="En-ttedetabledesmatires">
    <w:name w:val="TOC Heading"/>
    <w:basedOn w:val="Titre1"/>
    <w:next w:val="Normal"/>
    <w:uiPriority w:val="39"/>
    <w:unhideWhenUsed/>
    <w:qFormat/>
    <w:rsid w:val="00F77E44"/>
    <w:pPr>
      <w:spacing w:after="0" w:line="259" w:lineRule="auto"/>
      <w:outlineLvl w:val="9"/>
    </w:pPr>
    <w:rPr>
      <w:rFonts w:asciiTheme="majorHAnsi" w:hAnsiTheme="majorHAnsi"/>
      <w:smallCaps w:val="0"/>
      <w:color w:val="2E74B5" w:themeColor="accent1" w:themeShade="BF"/>
      <w:sz w:val="32"/>
      <w:lang w:eastAsia="fr-FR"/>
    </w:rPr>
  </w:style>
  <w:style w:type="paragraph" w:styleId="TM1">
    <w:name w:val="toc 1"/>
    <w:basedOn w:val="Normal"/>
    <w:next w:val="Normal"/>
    <w:autoRedefine/>
    <w:uiPriority w:val="39"/>
    <w:unhideWhenUsed/>
    <w:rsid w:val="00F77E44"/>
    <w:pPr>
      <w:spacing w:after="100"/>
    </w:pPr>
  </w:style>
  <w:style w:type="paragraph" w:styleId="TM2">
    <w:name w:val="toc 2"/>
    <w:basedOn w:val="Normal"/>
    <w:next w:val="Normal"/>
    <w:autoRedefine/>
    <w:uiPriority w:val="39"/>
    <w:unhideWhenUsed/>
    <w:rsid w:val="00F77E44"/>
    <w:pPr>
      <w:spacing w:after="100"/>
      <w:ind w:left="220"/>
    </w:pPr>
  </w:style>
  <w:style w:type="paragraph" w:styleId="TM3">
    <w:name w:val="toc 3"/>
    <w:basedOn w:val="Normal"/>
    <w:next w:val="Normal"/>
    <w:autoRedefine/>
    <w:uiPriority w:val="39"/>
    <w:unhideWhenUsed/>
    <w:rsid w:val="00F77E44"/>
    <w:pPr>
      <w:spacing w:after="100"/>
      <w:ind w:left="440"/>
    </w:pPr>
  </w:style>
  <w:style w:type="character" w:styleId="Lienhypertexte">
    <w:name w:val="Hyperlink"/>
    <w:basedOn w:val="Policepardfaut"/>
    <w:uiPriority w:val="99"/>
    <w:unhideWhenUsed/>
    <w:rsid w:val="00F77E44"/>
    <w:rPr>
      <w:color w:val="0563C1" w:themeColor="hyperlink"/>
      <w:u w:val="single"/>
    </w:rPr>
  </w:style>
  <w:style w:type="table" w:styleId="Grilledutableau">
    <w:name w:val="Table Grid"/>
    <w:basedOn w:val="TableauNormal"/>
    <w:uiPriority w:val="39"/>
    <w:rsid w:val="00AB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intense">
    <w:name w:val="Intense Emphasis"/>
    <w:basedOn w:val="Policepardfaut"/>
    <w:uiPriority w:val="21"/>
    <w:rsid w:val="00A419FB"/>
    <w:rPr>
      <w:i/>
      <w:iCs/>
      <w:color w:val="5B9BD5" w:themeColor="accent1"/>
    </w:rPr>
  </w:style>
  <w:style w:type="paragraph" w:styleId="Sansinterligne">
    <w:name w:val="No Spacing"/>
    <w:link w:val="SansinterligneCar"/>
    <w:uiPriority w:val="1"/>
    <w:rsid w:val="00A419FB"/>
    <w:pPr>
      <w:spacing w:after="0" w:line="240" w:lineRule="auto"/>
    </w:pPr>
  </w:style>
  <w:style w:type="character" w:styleId="Emphaseple">
    <w:name w:val="Subtle Emphasis"/>
    <w:basedOn w:val="Policepardfaut"/>
    <w:uiPriority w:val="19"/>
    <w:rsid w:val="009F0CEB"/>
    <w:rPr>
      <w:i/>
      <w:iCs/>
      <w:color w:val="404040" w:themeColor="text1" w:themeTint="BF"/>
    </w:rPr>
  </w:style>
  <w:style w:type="paragraph" w:customStyle="1" w:styleId="legende">
    <w:name w:val="legende"/>
    <w:basedOn w:val="texte"/>
    <w:next w:val="texte"/>
    <w:link w:val="legendeCar"/>
    <w:autoRedefine/>
    <w:qFormat/>
    <w:rsid w:val="009F0CEB"/>
    <w:rPr>
      <w:i/>
      <w:color w:val="3B3838" w:themeColor="background2" w:themeShade="40"/>
    </w:rPr>
  </w:style>
  <w:style w:type="character" w:customStyle="1" w:styleId="SansinterligneCar">
    <w:name w:val="Sans interligne Car"/>
    <w:basedOn w:val="Policepardfaut"/>
    <w:link w:val="Sansinterligne"/>
    <w:uiPriority w:val="1"/>
    <w:rsid w:val="009F0CEB"/>
  </w:style>
  <w:style w:type="character" w:customStyle="1" w:styleId="legendeCar">
    <w:name w:val="legende Car"/>
    <w:basedOn w:val="SansinterligneCar"/>
    <w:link w:val="legende"/>
    <w:rsid w:val="009F0CEB"/>
    <w:rPr>
      <w:rFonts w:ascii="Arial" w:hAnsi="Arial" w:cs="Arial"/>
      <w:i/>
      <w:color w:val="3B3838" w:themeColor="background2" w:themeShade="40"/>
      <w:sz w:val="20"/>
      <w:szCs w:val="20"/>
    </w:rPr>
  </w:style>
  <w:style w:type="paragraph" w:styleId="NormalWeb">
    <w:name w:val="Normal (Web)"/>
    <w:basedOn w:val="Normal"/>
    <w:uiPriority w:val="99"/>
    <w:unhideWhenUsed/>
    <w:rsid w:val="002A53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11BEA"/>
    <w:pPr>
      <w:spacing w:after="0" w:line="240" w:lineRule="auto"/>
      <w:ind w:left="720"/>
      <w:contextualSpacing/>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2E3D7A"/>
    <w:rPr>
      <w:sz w:val="16"/>
      <w:szCs w:val="16"/>
    </w:rPr>
  </w:style>
  <w:style w:type="paragraph" w:styleId="Commentaire">
    <w:name w:val="annotation text"/>
    <w:basedOn w:val="Normal"/>
    <w:link w:val="CommentaireCar"/>
    <w:uiPriority w:val="99"/>
    <w:semiHidden/>
    <w:unhideWhenUsed/>
    <w:rsid w:val="002E3D7A"/>
    <w:pPr>
      <w:spacing w:line="240" w:lineRule="auto"/>
    </w:pPr>
    <w:rPr>
      <w:sz w:val="20"/>
      <w:szCs w:val="20"/>
    </w:rPr>
  </w:style>
  <w:style w:type="character" w:customStyle="1" w:styleId="CommentaireCar">
    <w:name w:val="Commentaire Car"/>
    <w:basedOn w:val="Policepardfaut"/>
    <w:link w:val="Commentaire"/>
    <w:uiPriority w:val="99"/>
    <w:semiHidden/>
    <w:rsid w:val="002E3D7A"/>
    <w:rPr>
      <w:sz w:val="20"/>
      <w:szCs w:val="20"/>
    </w:rPr>
  </w:style>
  <w:style w:type="paragraph" w:styleId="Objetducommentaire">
    <w:name w:val="annotation subject"/>
    <w:basedOn w:val="Commentaire"/>
    <w:next w:val="Commentaire"/>
    <w:link w:val="ObjetducommentaireCar"/>
    <w:uiPriority w:val="99"/>
    <w:semiHidden/>
    <w:unhideWhenUsed/>
    <w:rsid w:val="002E3D7A"/>
    <w:rPr>
      <w:b/>
      <w:bCs/>
    </w:rPr>
  </w:style>
  <w:style w:type="character" w:customStyle="1" w:styleId="ObjetducommentaireCar">
    <w:name w:val="Objet du commentaire Car"/>
    <w:basedOn w:val="CommentaireCar"/>
    <w:link w:val="Objetducommentaire"/>
    <w:uiPriority w:val="99"/>
    <w:semiHidden/>
    <w:rsid w:val="002E3D7A"/>
    <w:rPr>
      <w:b/>
      <w:bCs/>
      <w:sz w:val="20"/>
      <w:szCs w:val="20"/>
    </w:rPr>
  </w:style>
  <w:style w:type="paragraph" w:styleId="Textedebulles">
    <w:name w:val="Balloon Text"/>
    <w:basedOn w:val="Normal"/>
    <w:link w:val="TextedebullesCar"/>
    <w:uiPriority w:val="99"/>
    <w:semiHidden/>
    <w:unhideWhenUsed/>
    <w:rsid w:val="002E3D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3D7A"/>
    <w:rPr>
      <w:rFonts w:ascii="Segoe UI" w:hAnsi="Segoe UI" w:cs="Segoe UI"/>
      <w:sz w:val="18"/>
      <w:szCs w:val="18"/>
    </w:rPr>
  </w:style>
  <w:style w:type="paragraph" w:styleId="Rvision">
    <w:name w:val="Revision"/>
    <w:hidden/>
    <w:uiPriority w:val="99"/>
    <w:semiHidden/>
    <w:rsid w:val="00F160A2"/>
    <w:pPr>
      <w:spacing w:after="0" w:line="240" w:lineRule="auto"/>
    </w:pPr>
  </w:style>
  <w:style w:type="paragraph" w:customStyle="1" w:styleId="EFLitemtiret">
    <w:name w:val="EFLitemtiret"/>
    <w:basedOn w:val="Normal"/>
    <w:link w:val="EFLitemtiretCar"/>
    <w:uiPriority w:val="99"/>
    <w:rsid w:val="000278A4"/>
    <w:pPr>
      <w:numPr>
        <w:numId w:val="2"/>
      </w:numPr>
      <w:autoSpaceDE w:val="0"/>
      <w:autoSpaceDN w:val="0"/>
      <w:spacing w:after="0" w:line="260" w:lineRule="exact"/>
      <w:jc w:val="both"/>
    </w:pPr>
    <w:rPr>
      <w:rFonts w:ascii="Times New Roman" w:eastAsia="Times New Roman" w:hAnsi="Times New Roman" w:cs="Times New Roman"/>
      <w:color w:val="000000"/>
      <w:lang w:eastAsia="fr-FR"/>
    </w:rPr>
  </w:style>
  <w:style w:type="paragraph" w:customStyle="1" w:styleId="EFLouvertureliste">
    <w:name w:val="EFLouvertureliste"/>
    <w:basedOn w:val="Normal"/>
    <w:uiPriority w:val="99"/>
    <w:rsid w:val="000278A4"/>
    <w:pPr>
      <w:autoSpaceDE w:val="0"/>
      <w:autoSpaceDN w:val="0"/>
      <w:spacing w:before="240" w:after="0" w:line="240" w:lineRule="auto"/>
    </w:pPr>
    <w:rPr>
      <w:rFonts w:ascii="Times New Roman" w:eastAsia="Times New Roman" w:hAnsi="Times New Roman" w:cs="Times New Roman"/>
      <w:color w:val="000000"/>
      <w:lang w:eastAsia="fr-FR"/>
    </w:rPr>
  </w:style>
  <w:style w:type="character" w:customStyle="1" w:styleId="EFLitemtiretCar">
    <w:name w:val="EFLitemtiret Car"/>
    <w:basedOn w:val="Policepardfaut"/>
    <w:link w:val="EFLitemtiret"/>
    <w:uiPriority w:val="99"/>
    <w:locked/>
    <w:rsid w:val="000278A4"/>
    <w:rPr>
      <w:rFonts w:ascii="Times New Roman" w:eastAsia="Times New Roman" w:hAnsi="Times New Roman" w:cs="Times New Roman"/>
      <w:color w:val="000000"/>
      <w:lang w:eastAsia="fr-FR"/>
    </w:rPr>
  </w:style>
  <w:style w:type="paragraph" w:customStyle="1" w:styleId="Default">
    <w:name w:val="Default"/>
    <w:rsid w:val="00FA5109"/>
    <w:pPr>
      <w:autoSpaceDE w:val="0"/>
      <w:autoSpaceDN w:val="0"/>
      <w:adjustRightInd w:val="0"/>
      <w:spacing w:after="0" w:line="240" w:lineRule="auto"/>
    </w:pPr>
    <w:rPr>
      <w:rFonts w:ascii="Arial" w:hAnsi="Arial" w:cs="Arial"/>
      <w:color w:val="000000"/>
      <w:sz w:val="24"/>
      <w:szCs w:val="24"/>
    </w:rPr>
  </w:style>
  <w:style w:type="paragraph" w:customStyle="1" w:styleId="EFLnormal">
    <w:name w:val="EFLnormal"/>
    <w:basedOn w:val="Normal"/>
    <w:link w:val="EFLnormalCar"/>
    <w:uiPriority w:val="99"/>
    <w:rsid w:val="00B3193F"/>
    <w:pPr>
      <w:autoSpaceDE w:val="0"/>
      <w:autoSpaceDN w:val="0"/>
      <w:spacing w:before="120" w:after="0" w:line="260" w:lineRule="exact"/>
      <w:jc w:val="both"/>
    </w:pPr>
    <w:rPr>
      <w:rFonts w:ascii="Times New Roman" w:eastAsia="Times New Roman" w:hAnsi="Times New Roman" w:cs="Times New Roman"/>
      <w:color w:val="000000"/>
      <w:lang w:eastAsia="fr-FR"/>
    </w:rPr>
  </w:style>
  <w:style w:type="character" w:customStyle="1" w:styleId="EFLnormalCar">
    <w:name w:val="EFLnormal Car"/>
    <w:link w:val="EFLnormal"/>
    <w:uiPriority w:val="99"/>
    <w:locked/>
    <w:rsid w:val="00B3193F"/>
    <w:rPr>
      <w:rFonts w:ascii="Times New Roman" w:eastAsia="Times New Roman" w:hAnsi="Times New Roman" w:cs="Times New Roman"/>
      <w:color w:val="000000"/>
      <w:lang w:eastAsia="fr-FR"/>
    </w:rPr>
  </w:style>
  <w:style w:type="character" w:customStyle="1" w:styleId="txt1">
    <w:name w:val="txt1"/>
    <w:rsid w:val="00076181"/>
    <w:rPr>
      <w:rFonts w:ascii="Arial" w:hAnsi="Arial" w:cs="Arial" w:hint="default"/>
      <w:b w:val="0"/>
      <w:bCs w:val="0"/>
      <w:color w:val="000000"/>
      <w:spacing w:val="0"/>
      <w:sz w:val="18"/>
      <w:szCs w:val="18"/>
    </w:rPr>
  </w:style>
  <w:style w:type="character" w:styleId="Accentuation">
    <w:name w:val="Emphasis"/>
    <w:basedOn w:val="Policepardfaut"/>
    <w:uiPriority w:val="20"/>
    <w:qFormat/>
    <w:rsid w:val="00BD0487"/>
    <w:rPr>
      <w:i/>
      <w:iCs/>
    </w:rPr>
  </w:style>
  <w:style w:type="character" w:customStyle="1" w:styleId="WW8Num1z6">
    <w:name w:val="WW8Num1z6"/>
    <w:uiPriority w:val="99"/>
    <w:rsid w:val="00A34465"/>
  </w:style>
  <w:style w:type="paragraph" w:styleId="Notedebasdepage">
    <w:name w:val="footnote text"/>
    <w:basedOn w:val="Normal"/>
    <w:link w:val="NotedebasdepageCar"/>
    <w:uiPriority w:val="99"/>
    <w:semiHidden/>
    <w:unhideWhenUsed/>
    <w:rsid w:val="003975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9759B"/>
    <w:rPr>
      <w:sz w:val="20"/>
      <w:szCs w:val="20"/>
    </w:rPr>
  </w:style>
  <w:style w:type="character" w:styleId="Appelnotedebasdep">
    <w:name w:val="footnote reference"/>
    <w:basedOn w:val="Policepardfaut"/>
    <w:uiPriority w:val="99"/>
    <w:semiHidden/>
    <w:unhideWhenUsed/>
    <w:rsid w:val="0039759B"/>
    <w:rPr>
      <w:vertAlign w:val="superscript"/>
    </w:rPr>
  </w:style>
  <w:style w:type="paragraph" w:customStyle="1" w:styleId="margintopbottom14">
    <w:name w:val="margintopbottom14"/>
    <w:basedOn w:val="Normal"/>
    <w:rsid w:val="006015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ghlight">
    <w:name w:val="highlight"/>
    <w:basedOn w:val="Policepardfaut"/>
    <w:rsid w:val="00601583"/>
  </w:style>
  <w:style w:type="paragraph" w:styleId="Notedefin">
    <w:name w:val="endnote text"/>
    <w:basedOn w:val="Normal"/>
    <w:link w:val="NotedefinCar"/>
    <w:uiPriority w:val="99"/>
    <w:semiHidden/>
    <w:unhideWhenUsed/>
    <w:rsid w:val="00165D13"/>
    <w:pPr>
      <w:spacing w:after="0" w:line="240" w:lineRule="auto"/>
    </w:pPr>
    <w:rPr>
      <w:sz w:val="20"/>
      <w:szCs w:val="20"/>
    </w:rPr>
  </w:style>
  <w:style w:type="character" w:customStyle="1" w:styleId="NotedefinCar">
    <w:name w:val="Note de fin Car"/>
    <w:basedOn w:val="Policepardfaut"/>
    <w:link w:val="Notedefin"/>
    <w:uiPriority w:val="99"/>
    <w:semiHidden/>
    <w:rsid w:val="00165D13"/>
    <w:rPr>
      <w:sz w:val="20"/>
      <w:szCs w:val="20"/>
    </w:rPr>
  </w:style>
  <w:style w:type="character" w:styleId="Appeldenotedefin">
    <w:name w:val="endnote reference"/>
    <w:basedOn w:val="Policepardfaut"/>
    <w:uiPriority w:val="99"/>
    <w:semiHidden/>
    <w:unhideWhenUsed/>
    <w:rsid w:val="00165D13"/>
    <w:rPr>
      <w:vertAlign w:val="superscript"/>
    </w:rPr>
  </w:style>
  <w:style w:type="paragraph" w:styleId="Corpsdetexte">
    <w:name w:val="Body Text"/>
    <w:basedOn w:val="Normal"/>
    <w:link w:val="CorpsdetexteCar"/>
    <w:uiPriority w:val="1"/>
    <w:qFormat/>
    <w:rsid w:val="00F756D2"/>
    <w:pPr>
      <w:widowControl w:val="0"/>
      <w:spacing w:after="0" w:line="240" w:lineRule="auto"/>
      <w:ind w:left="905"/>
    </w:pPr>
    <w:rPr>
      <w:rFonts w:ascii="Arial" w:eastAsia="Arial" w:hAnsi="Arial"/>
      <w:sz w:val="20"/>
      <w:szCs w:val="20"/>
      <w:lang w:val="en-US"/>
    </w:rPr>
  </w:style>
  <w:style w:type="character" w:customStyle="1" w:styleId="CorpsdetexteCar">
    <w:name w:val="Corps de texte Car"/>
    <w:basedOn w:val="Policepardfaut"/>
    <w:link w:val="Corpsdetexte"/>
    <w:uiPriority w:val="1"/>
    <w:rsid w:val="00F756D2"/>
    <w:rPr>
      <w:rFonts w:ascii="Arial" w:eastAsia="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2117">
      <w:bodyDiv w:val="1"/>
      <w:marLeft w:val="0"/>
      <w:marRight w:val="0"/>
      <w:marTop w:val="0"/>
      <w:marBottom w:val="0"/>
      <w:divBdr>
        <w:top w:val="none" w:sz="0" w:space="0" w:color="auto"/>
        <w:left w:val="none" w:sz="0" w:space="0" w:color="auto"/>
        <w:bottom w:val="none" w:sz="0" w:space="0" w:color="auto"/>
        <w:right w:val="none" w:sz="0" w:space="0" w:color="auto"/>
      </w:divBdr>
    </w:div>
    <w:div w:id="147283303">
      <w:bodyDiv w:val="1"/>
      <w:marLeft w:val="0"/>
      <w:marRight w:val="0"/>
      <w:marTop w:val="0"/>
      <w:marBottom w:val="0"/>
      <w:divBdr>
        <w:top w:val="none" w:sz="0" w:space="0" w:color="auto"/>
        <w:left w:val="none" w:sz="0" w:space="0" w:color="auto"/>
        <w:bottom w:val="none" w:sz="0" w:space="0" w:color="auto"/>
        <w:right w:val="none" w:sz="0" w:space="0" w:color="auto"/>
      </w:divBdr>
    </w:div>
    <w:div w:id="379136229">
      <w:bodyDiv w:val="1"/>
      <w:marLeft w:val="0"/>
      <w:marRight w:val="0"/>
      <w:marTop w:val="0"/>
      <w:marBottom w:val="0"/>
      <w:divBdr>
        <w:top w:val="none" w:sz="0" w:space="0" w:color="auto"/>
        <w:left w:val="none" w:sz="0" w:space="0" w:color="auto"/>
        <w:bottom w:val="none" w:sz="0" w:space="0" w:color="auto"/>
        <w:right w:val="none" w:sz="0" w:space="0" w:color="auto"/>
      </w:divBdr>
      <w:divsChild>
        <w:div w:id="86776524">
          <w:marLeft w:val="446"/>
          <w:marRight w:val="0"/>
          <w:marTop w:val="0"/>
          <w:marBottom w:val="0"/>
          <w:divBdr>
            <w:top w:val="none" w:sz="0" w:space="0" w:color="auto"/>
            <w:left w:val="none" w:sz="0" w:space="0" w:color="auto"/>
            <w:bottom w:val="none" w:sz="0" w:space="0" w:color="auto"/>
            <w:right w:val="none" w:sz="0" w:space="0" w:color="auto"/>
          </w:divBdr>
        </w:div>
        <w:div w:id="1081831509">
          <w:marLeft w:val="446"/>
          <w:marRight w:val="0"/>
          <w:marTop w:val="0"/>
          <w:marBottom w:val="0"/>
          <w:divBdr>
            <w:top w:val="none" w:sz="0" w:space="0" w:color="auto"/>
            <w:left w:val="none" w:sz="0" w:space="0" w:color="auto"/>
            <w:bottom w:val="none" w:sz="0" w:space="0" w:color="auto"/>
            <w:right w:val="none" w:sz="0" w:space="0" w:color="auto"/>
          </w:divBdr>
        </w:div>
      </w:divsChild>
    </w:div>
    <w:div w:id="541943090">
      <w:bodyDiv w:val="1"/>
      <w:marLeft w:val="0"/>
      <w:marRight w:val="0"/>
      <w:marTop w:val="0"/>
      <w:marBottom w:val="0"/>
      <w:divBdr>
        <w:top w:val="none" w:sz="0" w:space="0" w:color="auto"/>
        <w:left w:val="none" w:sz="0" w:space="0" w:color="auto"/>
        <w:bottom w:val="none" w:sz="0" w:space="0" w:color="auto"/>
        <w:right w:val="none" w:sz="0" w:space="0" w:color="auto"/>
      </w:divBdr>
    </w:div>
    <w:div w:id="839540979">
      <w:bodyDiv w:val="1"/>
      <w:marLeft w:val="0"/>
      <w:marRight w:val="0"/>
      <w:marTop w:val="0"/>
      <w:marBottom w:val="0"/>
      <w:divBdr>
        <w:top w:val="none" w:sz="0" w:space="0" w:color="auto"/>
        <w:left w:val="none" w:sz="0" w:space="0" w:color="auto"/>
        <w:bottom w:val="none" w:sz="0" w:space="0" w:color="auto"/>
        <w:right w:val="none" w:sz="0" w:space="0" w:color="auto"/>
      </w:divBdr>
      <w:divsChild>
        <w:div w:id="593827882">
          <w:marLeft w:val="547"/>
          <w:marRight w:val="0"/>
          <w:marTop w:val="0"/>
          <w:marBottom w:val="0"/>
          <w:divBdr>
            <w:top w:val="none" w:sz="0" w:space="0" w:color="auto"/>
            <w:left w:val="none" w:sz="0" w:space="0" w:color="auto"/>
            <w:bottom w:val="none" w:sz="0" w:space="0" w:color="auto"/>
            <w:right w:val="none" w:sz="0" w:space="0" w:color="auto"/>
          </w:divBdr>
        </w:div>
        <w:div w:id="1217625499">
          <w:marLeft w:val="547"/>
          <w:marRight w:val="0"/>
          <w:marTop w:val="0"/>
          <w:marBottom w:val="0"/>
          <w:divBdr>
            <w:top w:val="none" w:sz="0" w:space="0" w:color="auto"/>
            <w:left w:val="none" w:sz="0" w:space="0" w:color="auto"/>
            <w:bottom w:val="none" w:sz="0" w:space="0" w:color="auto"/>
            <w:right w:val="none" w:sz="0" w:space="0" w:color="auto"/>
          </w:divBdr>
        </w:div>
        <w:div w:id="1710647122">
          <w:marLeft w:val="547"/>
          <w:marRight w:val="0"/>
          <w:marTop w:val="0"/>
          <w:marBottom w:val="0"/>
          <w:divBdr>
            <w:top w:val="none" w:sz="0" w:space="0" w:color="auto"/>
            <w:left w:val="none" w:sz="0" w:space="0" w:color="auto"/>
            <w:bottom w:val="none" w:sz="0" w:space="0" w:color="auto"/>
            <w:right w:val="none" w:sz="0" w:space="0" w:color="auto"/>
          </w:divBdr>
        </w:div>
        <w:div w:id="188181878">
          <w:marLeft w:val="547"/>
          <w:marRight w:val="0"/>
          <w:marTop w:val="0"/>
          <w:marBottom w:val="0"/>
          <w:divBdr>
            <w:top w:val="none" w:sz="0" w:space="0" w:color="auto"/>
            <w:left w:val="none" w:sz="0" w:space="0" w:color="auto"/>
            <w:bottom w:val="none" w:sz="0" w:space="0" w:color="auto"/>
            <w:right w:val="none" w:sz="0" w:space="0" w:color="auto"/>
          </w:divBdr>
        </w:div>
        <w:div w:id="1038163140">
          <w:marLeft w:val="547"/>
          <w:marRight w:val="0"/>
          <w:marTop w:val="0"/>
          <w:marBottom w:val="0"/>
          <w:divBdr>
            <w:top w:val="none" w:sz="0" w:space="0" w:color="auto"/>
            <w:left w:val="none" w:sz="0" w:space="0" w:color="auto"/>
            <w:bottom w:val="none" w:sz="0" w:space="0" w:color="auto"/>
            <w:right w:val="none" w:sz="0" w:space="0" w:color="auto"/>
          </w:divBdr>
        </w:div>
        <w:div w:id="33386216">
          <w:marLeft w:val="547"/>
          <w:marRight w:val="0"/>
          <w:marTop w:val="0"/>
          <w:marBottom w:val="0"/>
          <w:divBdr>
            <w:top w:val="none" w:sz="0" w:space="0" w:color="auto"/>
            <w:left w:val="none" w:sz="0" w:space="0" w:color="auto"/>
            <w:bottom w:val="none" w:sz="0" w:space="0" w:color="auto"/>
            <w:right w:val="none" w:sz="0" w:space="0" w:color="auto"/>
          </w:divBdr>
        </w:div>
        <w:div w:id="127552495">
          <w:marLeft w:val="547"/>
          <w:marRight w:val="0"/>
          <w:marTop w:val="0"/>
          <w:marBottom w:val="0"/>
          <w:divBdr>
            <w:top w:val="none" w:sz="0" w:space="0" w:color="auto"/>
            <w:left w:val="none" w:sz="0" w:space="0" w:color="auto"/>
            <w:bottom w:val="none" w:sz="0" w:space="0" w:color="auto"/>
            <w:right w:val="none" w:sz="0" w:space="0" w:color="auto"/>
          </w:divBdr>
        </w:div>
        <w:div w:id="2104450750">
          <w:marLeft w:val="547"/>
          <w:marRight w:val="0"/>
          <w:marTop w:val="0"/>
          <w:marBottom w:val="0"/>
          <w:divBdr>
            <w:top w:val="none" w:sz="0" w:space="0" w:color="auto"/>
            <w:left w:val="none" w:sz="0" w:space="0" w:color="auto"/>
            <w:bottom w:val="none" w:sz="0" w:space="0" w:color="auto"/>
            <w:right w:val="none" w:sz="0" w:space="0" w:color="auto"/>
          </w:divBdr>
        </w:div>
      </w:divsChild>
    </w:div>
    <w:div w:id="847015354">
      <w:bodyDiv w:val="1"/>
      <w:marLeft w:val="0"/>
      <w:marRight w:val="0"/>
      <w:marTop w:val="0"/>
      <w:marBottom w:val="0"/>
      <w:divBdr>
        <w:top w:val="none" w:sz="0" w:space="0" w:color="auto"/>
        <w:left w:val="none" w:sz="0" w:space="0" w:color="auto"/>
        <w:bottom w:val="none" w:sz="0" w:space="0" w:color="auto"/>
        <w:right w:val="none" w:sz="0" w:space="0" w:color="auto"/>
      </w:divBdr>
    </w:div>
    <w:div w:id="873811894">
      <w:bodyDiv w:val="1"/>
      <w:marLeft w:val="0"/>
      <w:marRight w:val="0"/>
      <w:marTop w:val="0"/>
      <w:marBottom w:val="0"/>
      <w:divBdr>
        <w:top w:val="none" w:sz="0" w:space="0" w:color="auto"/>
        <w:left w:val="none" w:sz="0" w:space="0" w:color="auto"/>
        <w:bottom w:val="none" w:sz="0" w:space="0" w:color="auto"/>
        <w:right w:val="none" w:sz="0" w:space="0" w:color="auto"/>
      </w:divBdr>
    </w:div>
    <w:div w:id="910652101">
      <w:bodyDiv w:val="1"/>
      <w:marLeft w:val="0"/>
      <w:marRight w:val="0"/>
      <w:marTop w:val="0"/>
      <w:marBottom w:val="0"/>
      <w:divBdr>
        <w:top w:val="none" w:sz="0" w:space="0" w:color="auto"/>
        <w:left w:val="none" w:sz="0" w:space="0" w:color="auto"/>
        <w:bottom w:val="none" w:sz="0" w:space="0" w:color="auto"/>
        <w:right w:val="none" w:sz="0" w:space="0" w:color="auto"/>
      </w:divBdr>
      <w:divsChild>
        <w:div w:id="562108692">
          <w:marLeft w:val="547"/>
          <w:marRight w:val="0"/>
          <w:marTop w:val="0"/>
          <w:marBottom w:val="0"/>
          <w:divBdr>
            <w:top w:val="none" w:sz="0" w:space="0" w:color="auto"/>
            <w:left w:val="none" w:sz="0" w:space="0" w:color="auto"/>
            <w:bottom w:val="none" w:sz="0" w:space="0" w:color="auto"/>
            <w:right w:val="none" w:sz="0" w:space="0" w:color="auto"/>
          </w:divBdr>
        </w:div>
      </w:divsChild>
    </w:div>
    <w:div w:id="967010935">
      <w:bodyDiv w:val="1"/>
      <w:marLeft w:val="0"/>
      <w:marRight w:val="0"/>
      <w:marTop w:val="0"/>
      <w:marBottom w:val="0"/>
      <w:divBdr>
        <w:top w:val="none" w:sz="0" w:space="0" w:color="auto"/>
        <w:left w:val="none" w:sz="0" w:space="0" w:color="auto"/>
        <w:bottom w:val="none" w:sz="0" w:space="0" w:color="auto"/>
        <w:right w:val="none" w:sz="0" w:space="0" w:color="auto"/>
      </w:divBdr>
      <w:divsChild>
        <w:div w:id="1423527155">
          <w:marLeft w:val="547"/>
          <w:marRight w:val="0"/>
          <w:marTop w:val="0"/>
          <w:marBottom w:val="0"/>
          <w:divBdr>
            <w:top w:val="none" w:sz="0" w:space="0" w:color="auto"/>
            <w:left w:val="none" w:sz="0" w:space="0" w:color="auto"/>
            <w:bottom w:val="none" w:sz="0" w:space="0" w:color="auto"/>
            <w:right w:val="none" w:sz="0" w:space="0" w:color="auto"/>
          </w:divBdr>
        </w:div>
        <w:div w:id="653263430">
          <w:marLeft w:val="547"/>
          <w:marRight w:val="0"/>
          <w:marTop w:val="0"/>
          <w:marBottom w:val="0"/>
          <w:divBdr>
            <w:top w:val="none" w:sz="0" w:space="0" w:color="auto"/>
            <w:left w:val="none" w:sz="0" w:space="0" w:color="auto"/>
            <w:bottom w:val="none" w:sz="0" w:space="0" w:color="auto"/>
            <w:right w:val="none" w:sz="0" w:space="0" w:color="auto"/>
          </w:divBdr>
        </w:div>
      </w:divsChild>
    </w:div>
    <w:div w:id="1089958995">
      <w:bodyDiv w:val="1"/>
      <w:marLeft w:val="0"/>
      <w:marRight w:val="0"/>
      <w:marTop w:val="0"/>
      <w:marBottom w:val="0"/>
      <w:divBdr>
        <w:top w:val="none" w:sz="0" w:space="0" w:color="auto"/>
        <w:left w:val="none" w:sz="0" w:space="0" w:color="auto"/>
        <w:bottom w:val="none" w:sz="0" w:space="0" w:color="auto"/>
        <w:right w:val="none" w:sz="0" w:space="0" w:color="auto"/>
      </w:divBdr>
    </w:div>
    <w:div w:id="1236862588">
      <w:bodyDiv w:val="1"/>
      <w:marLeft w:val="0"/>
      <w:marRight w:val="0"/>
      <w:marTop w:val="0"/>
      <w:marBottom w:val="0"/>
      <w:divBdr>
        <w:top w:val="none" w:sz="0" w:space="0" w:color="auto"/>
        <w:left w:val="none" w:sz="0" w:space="0" w:color="auto"/>
        <w:bottom w:val="none" w:sz="0" w:space="0" w:color="auto"/>
        <w:right w:val="none" w:sz="0" w:space="0" w:color="auto"/>
      </w:divBdr>
    </w:div>
    <w:div w:id="1362314845">
      <w:bodyDiv w:val="1"/>
      <w:marLeft w:val="0"/>
      <w:marRight w:val="0"/>
      <w:marTop w:val="0"/>
      <w:marBottom w:val="0"/>
      <w:divBdr>
        <w:top w:val="none" w:sz="0" w:space="0" w:color="auto"/>
        <w:left w:val="none" w:sz="0" w:space="0" w:color="auto"/>
        <w:bottom w:val="none" w:sz="0" w:space="0" w:color="auto"/>
        <w:right w:val="none" w:sz="0" w:space="0" w:color="auto"/>
      </w:divBdr>
    </w:div>
    <w:div w:id="1376586790">
      <w:bodyDiv w:val="1"/>
      <w:marLeft w:val="0"/>
      <w:marRight w:val="0"/>
      <w:marTop w:val="0"/>
      <w:marBottom w:val="0"/>
      <w:divBdr>
        <w:top w:val="none" w:sz="0" w:space="0" w:color="auto"/>
        <w:left w:val="none" w:sz="0" w:space="0" w:color="auto"/>
        <w:bottom w:val="none" w:sz="0" w:space="0" w:color="auto"/>
        <w:right w:val="none" w:sz="0" w:space="0" w:color="auto"/>
      </w:divBdr>
    </w:div>
    <w:div w:id="1510561603">
      <w:bodyDiv w:val="1"/>
      <w:marLeft w:val="0"/>
      <w:marRight w:val="0"/>
      <w:marTop w:val="0"/>
      <w:marBottom w:val="0"/>
      <w:divBdr>
        <w:top w:val="none" w:sz="0" w:space="0" w:color="auto"/>
        <w:left w:val="none" w:sz="0" w:space="0" w:color="auto"/>
        <w:bottom w:val="none" w:sz="0" w:space="0" w:color="auto"/>
        <w:right w:val="none" w:sz="0" w:space="0" w:color="auto"/>
      </w:divBdr>
      <w:divsChild>
        <w:div w:id="736055801">
          <w:blockQuote w:val="1"/>
          <w:marLeft w:val="720"/>
          <w:marRight w:val="0"/>
          <w:marTop w:val="100"/>
          <w:marBottom w:val="0"/>
          <w:divBdr>
            <w:top w:val="none" w:sz="0" w:space="0" w:color="auto"/>
            <w:left w:val="none" w:sz="0" w:space="0" w:color="auto"/>
            <w:bottom w:val="none" w:sz="0" w:space="0" w:color="auto"/>
            <w:right w:val="none" w:sz="0" w:space="0" w:color="auto"/>
          </w:divBdr>
        </w:div>
      </w:divsChild>
    </w:div>
    <w:div w:id="1691251607">
      <w:bodyDiv w:val="1"/>
      <w:marLeft w:val="0"/>
      <w:marRight w:val="0"/>
      <w:marTop w:val="0"/>
      <w:marBottom w:val="0"/>
      <w:divBdr>
        <w:top w:val="none" w:sz="0" w:space="0" w:color="auto"/>
        <w:left w:val="none" w:sz="0" w:space="0" w:color="auto"/>
        <w:bottom w:val="none" w:sz="0" w:space="0" w:color="auto"/>
        <w:right w:val="none" w:sz="0" w:space="0" w:color="auto"/>
      </w:divBdr>
    </w:div>
    <w:div w:id="1810857486">
      <w:bodyDiv w:val="1"/>
      <w:marLeft w:val="0"/>
      <w:marRight w:val="0"/>
      <w:marTop w:val="0"/>
      <w:marBottom w:val="0"/>
      <w:divBdr>
        <w:top w:val="none" w:sz="0" w:space="0" w:color="auto"/>
        <w:left w:val="none" w:sz="0" w:space="0" w:color="auto"/>
        <w:bottom w:val="none" w:sz="0" w:space="0" w:color="auto"/>
        <w:right w:val="none" w:sz="0" w:space="0" w:color="auto"/>
      </w:divBdr>
      <w:divsChild>
        <w:div w:id="1703554558">
          <w:marLeft w:val="446"/>
          <w:marRight w:val="0"/>
          <w:marTop w:val="0"/>
          <w:marBottom w:val="0"/>
          <w:divBdr>
            <w:top w:val="none" w:sz="0" w:space="0" w:color="auto"/>
            <w:left w:val="none" w:sz="0" w:space="0" w:color="auto"/>
            <w:bottom w:val="none" w:sz="0" w:space="0" w:color="auto"/>
            <w:right w:val="none" w:sz="0" w:space="0" w:color="auto"/>
          </w:divBdr>
        </w:div>
      </w:divsChild>
    </w:div>
    <w:div w:id="1873879339">
      <w:bodyDiv w:val="1"/>
      <w:marLeft w:val="0"/>
      <w:marRight w:val="0"/>
      <w:marTop w:val="0"/>
      <w:marBottom w:val="0"/>
      <w:divBdr>
        <w:top w:val="none" w:sz="0" w:space="0" w:color="auto"/>
        <w:left w:val="none" w:sz="0" w:space="0" w:color="auto"/>
        <w:bottom w:val="none" w:sz="0" w:space="0" w:color="auto"/>
        <w:right w:val="none" w:sz="0" w:space="0" w:color="auto"/>
      </w:divBdr>
    </w:div>
    <w:div w:id="1914125130">
      <w:bodyDiv w:val="1"/>
      <w:marLeft w:val="0"/>
      <w:marRight w:val="0"/>
      <w:marTop w:val="0"/>
      <w:marBottom w:val="0"/>
      <w:divBdr>
        <w:top w:val="none" w:sz="0" w:space="0" w:color="auto"/>
        <w:left w:val="none" w:sz="0" w:space="0" w:color="auto"/>
        <w:bottom w:val="none" w:sz="0" w:space="0" w:color="auto"/>
        <w:right w:val="none" w:sz="0" w:space="0" w:color="auto"/>
      </w:divBdr>
    </w:div>
    <w:div w:id="1950233613">
      <w:bodyDiv w:val="1"/>
      <w:marLeft w:val="0"/>
      <w:marRight w:val="0"/>
      <w:marTop w:val="0"/>
      <w:marBottom w:val="0"/>
      <w:divBdr>
        <w:top w:val="none" w:sz="0" w:space="0" w:color="auto"/>
        <w:left w:val="none" w:sz="0" w:space="0" w:color="auto"/>
        <w:bottom w:val="none" w:sz="0" w:space="0" w:color="auto"/>
        <w:right w:val="none" w:sz="0" w:space="0" w:color="auto"/>
      </w:divBdr>
    </w:div>
    <w:div w:id="1972705724">
      <w:bodyDiv w:val="1"/>
      <w:marLeft w:val="0"/>
      <w:marRight w:val="0"/>
      <w:marTop w:val="0"/>
      <w:marBottom w:val="0"/>
      <w:divBdr>
        <w:top w:val="none" w:sz="0" w:space="0" w:color="auto"/>
        <w:left w:val="none" w:sz="0" w:space="0" w:color="auto"/>
        <w:bottom w:val="none" w:sz="0" w:space="0" w:color="auto"/>
        <w:right w:val="none" w:sz="0" w:space="0" w:color="auto"/>
      </w:divBdr>
    </w:div>
    <w:div w:id="2034303237">
      <w:bodyDiv w:val="1"/>
      <w:marLeft w:val="0"/>
      <w:marRight w:val="0"/>
      <w:marTop w:val="0"/>
      <w:marBottom w:val="0"/>
      <w:divBdr>
        <w:top w:val="none" w:sz="0" w:space="0" w:color="auto"/>
        <w:left w:val="none" w:sz="0" w:space="0" w:color="auto"/>
        <w:bottom w:val="none" w:sz="0" w:space="0" w:color="auto"/>
        <w:right w:val="none" w:sz="0" w:space="0" w:color="auto"/>
      </w:divBdr>
    </w:div>
    <w:div w:id="21209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9FB34-063D-4123-BD45-B4650B71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1814</Words>
  <Characters>9977</Characters>
  <Application>Microsoft Office Word</Application>
  <DocSecurity>4</DocSecurity>
  <Lines>83</Lines>
  <Paragraphs>23</Paragraphs>
  <ScaleCrop>false</ScaleCrop>
  <HeadingPairs>
    <vt:vector size="2" baseType="variant">
      <vt:variant>
        <vt:lpstr>Titre</vt:lpstr>
      </vt:variant>
      <vt:variant>
        <vt:i4>1</vt:i4>
      </vt:variant>
    </vt:vector>
  </HeadingPairs>
  <TitlesOfParts>
    <vt:vector size="1" baseType="lpstr">
      <vt:lpstr>DRHRS_modèle_accords</vt:lpstr>
    </vt:vector>
  </TitlesOfParts>
  <Company>CEA</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DRHRS_modèle_accords</dc:title>
  <dc:subject/>
  <dc:creator>GAIFFIER Céline</dc:creator>
  <cp:keywords/>
  <dc:description/>
  <cp:lastModifiedBy>RIBEIRO Nathalie</cp:lastModifiedBy>
  <cp:revision>2</cp:revision>
  <cp:lastPrinted>2021-09-08T12:19:00Z</cp:lastPrinted>
  <dcterms:created xsi:type="dcterms:W3CDTF">2021-09-21T14:15:00Z</dcterms:created>
  <dcterms:modified xsi:type="dcterms:W3CDTF">2021-09-21T14:15:00Z</dcterms:modified>
</cp:coreProperties>
</file>